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FF817" w14:textId="77777777" w:rsidR="004F4FE1" w:rsidRPr="004F4FE1" w:rsidRDefault="004F4FE1" w:rsidP="004F4FE1">
      <w:pPr>
        <w:bidi/>
        <w:spacing w:line="240" w:lineRule="auto"/>
        <w:contextualSpacing w:val="0"/>
        <w:rPr>
          <w:rFonts w:ascii="Calibri" w:eastAsia="Calibri" w:hAnsi="Calibri" w:cs="Calibri"/>
          <w:bCs/>
          <w:sz w:val="24"/>
          <w:szCs w:val="24"/>
        </w:rPr>
      </w:pPr>
      <w:r w:rsidRPr="004F4FE1">
        <w:rPr>
          <w:rFonts w:ascii="Calibri" w:eastAsia="Calibri" w:hAnsi="Calibri" w:cs="Calibri"/>
          <w:bCs/>
          <w:sz w:val="24"/>
          <w:szCs w:val="24"/>
          <w:rtl/>
        </w:rPr>
        <w:t>20 يونيو/حزيران 2018</w:t>
      </w:r>
    </w:p>
    <w:p w14:paraId="54647DEE" w14:textId="77777777" w:rsidR="004F4FE1" w:rsidRDefault="004F4FE1">
      <w:pPr>
        <w:bidi/>
        <w:contextualSpacing w:val="0"/>
        <w:rPr>
          <w:bCs/>
          <w:sz w:val="28"/>
          <w:szCs w:val="28"/>
        </w:rPr>
      </w:pPr>
    </w:p>
    <w:p w14:paraId="1A0ED043" w14:textId="77320130" w:rsidR="00220847" w:rsidRPr="00D37AF7" w:rsidRDefault="00084F71" w:rsidP="004F4FE1">
      <w:pPr>
        <w:bidi/>
        <w:contextualSpacing w:val="0"/>
        <w:rPr>
          <w:bCs/>
          <w:sz w:val="28"/>
          <w:szCs w:val="28"/>
        </w:rPr>
      </w:pPr>
      <w:r w:rsidRPr="00D37AF7">
        <w:rPr>
          <w:bCs/>
          <w:sz w:val="28"/>
          <w:szCs w:val="28"/>
          <w:rtl/>
        </w:rPr>
        <w:t>الإمارات العربية المتحدة: تقرير بعثة يوضح صعوبة التحقق من ظروف احتجاز ومحاكمة أحمد منصور، الذي يقضي عقوبة بالسجن لمدة 10 سنوات بسبب تقارير عن حقوق الإنسان</w:t>
      </w:r>
    </w:p>
    <w:p w14:paraId="455857B5" w14:textId="77777777" w:rsidR="00220847" w:rsidRDefault="00220847">
      <w:pPr>
        <w:bidi/>
        <w:contextualSpacing w:val="0"/>
        <w:rPr>
          <w:b/>
        </w:rPr>
      </w:pPr>
    </w:p>
    <w:p w14:paraId="69298B86" w14:textId="77777777" w:rsidR="00220847" w:rsidRDefault="00F65508" w:rsidP="00F65508">
      <w:pPr>
        <w:spacing w:line="240" w:lineRule="auto"/>
        <w:contextualSpacing w:val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  <w:lang w:val="fr-FR" w:eastAsia="fr-FR"/>
        </w:rPr>
        <w:drawing>
          <wp:inline distT="0" distB="0" distL="0" distR="0" wp14:anchorId="5252B8B5" wp14:editId="6FC642A7">
            <wp:extent cx="4192905" cy="31446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HMED_MANSOOR_12 - MEF Right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640" cy="31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A8C89" w14:textId="77777777" w:rsidR="00220847" w:rsidRDefault="00220847">
      <w:pPr>
        <w:spacing w:line="240" w:lineRule="auto"/>
        <w:contextualSpacing w:val="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A49FA08" w14:textId="77777777" w:rsidR="00220847" w:rsidRDefault="00220847">
      <w:pPr>
        <w:bidi/>
        <w:spacing w:line="240" w:lineRule="auto"/>
        <w:contextualSpacing w:val="0"/>
        <w:rPr>
          <w:rFonts w:ascii="Calibri" w:eastAsia="Calibri" w:hAnsi="Calibri" w:cs="Calibri"/>
          <w:b/>
          <w:sz w:val="24"/>
          <w:szCs w:val="24"/>
        </w:rPr>
      </w:pPr>
    </w:p>
    <w:p w14:paraId="3309FB25" w14:textId="3C35234E" w:rsidR="00220847" w:rsidRDefault="00084F71">
      <w:pPr>
        <w:bidi/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 xml:space="preserve">بعد خمسة عشر شهراً من اعتقال المدافع البارز عن حقوق الإنسان </w:t>
      </w:r>
      <w:r w:rsidRPr="004F4FE1">
        <w:rPr>
          <w:rFonts w:ascii="Calibri" w:eastAsia="Calibri" w:hAnsi="Calibri" w:cs="Calibri"/>
          <w:bCs/>
          <w:sz w:val="24"/>
          <w:szCs w:val="24"/>
          <w:rtl/>
        </w:rPr>
        <w:t>أحمد منصور</w:t>
      </w:r>
      <w:r>
        <w:rPr>
          <w:rFonts w:ascii="Calibri" w:eastAsia="Calibri" w:hAnsi="Calibri" w:cs="Calibri"/>
          <w:sz w:val="24"/>
          <w:szCs w:val="24"/>
          <w:rtl/>
        </w:rPr>
        <w:t xml:space="preserve"> في الإمارات العربية المتحدة،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rtl/>
        </w:rPr>
        <w:t>لا تزال منظمات حقوق الإنسان غير قادرة على التحقق بشكل مؤكد من مكان وجوده أو ظروف احتجازه</w:t>
      </w:r>
      <w:r w:rsidRPr="004F4FE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  <w:rtl/>
        </w:rPr>
        <w:t xml:space="preserve"> </w:t>
      </w:r>
      <w:r w:rsidR="004F4FE1">
        <w:rPr>
          <w:rFonts w:ascii="Calibri" w:eastAsia="Calibri" w:hAnsi="Calibri" w:cs="Calibri" w:hint="cs"/>
          <w:sz w:val="24"/>
          <w:szCs w:val="24"/>
          <w:rtl/>
          <w:lang w:bidi="ar-LB"/>
        </w:rPr>
        <w:t>و</w:t>
      </w:r>
      <w:r>
        <w:rPr>
          <w:rFonts w:ascii="Calibri" w:eastAsia="Calibri" w:hAnsi="Calibri" w:cs="Calibri"/>
          <w:sz w:val="24"/>
          <w:szCs w:val="24"/>
          <w:rtl/>
        </w:rPr>
        <w:t>لا توجد تفاصيل كثيرة عن محاكمة منصور الذي حُكم عليه بالسجن لمدة 10 سنوات في 29 مايو/مايس 2018 بسبب أنشطته في مجال حقوق الإنسان، سوى ما ورد في وسائل الإعلام.</w:t>
      </w:r>
    </w:p>
    <w:p w14:paraId="20F4860C" w14:textId="77777777" w:rsidR="00220847" w:rsidRDefault="00220847">
      <w:pPr>
        <w:bidi/>
        <w:spacing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</w:p>
    <w:p w14:paraId="5FC73866" w14:textId="6FF4D6B7" w:rsidR="00220847" w:rsidRDefault="00084F71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>في 26 فبراير/شباط 2018، اتصل محاميان من أيرلندا بوزارة الداخلية في الإمارات العربية المتحدة في محاولة لتحديد مكان وجود المدافع البارز عن حقوق الإنسان</w:t>
      </w:r>
      <w:r>
        <w:rPr>
          <w:rFonts w:ascii="Calibri" w:eastAsia="Calibri" w:hAnsi="Calibri" w:cs="Calibri"/>
          <w:b/>
          <w:sz w:val="24"/>
          <w:szCs w:val="24"/>
          <w:rtl/>
        </w:rPr>
        <w:t xml:space="preserve"> أحمد منصور</w:t>
      </w:r>
      <w:r>
        <w:rPr>
          <w:rFonts w:ascii="Calibri" w:eastAsia="Calibri" w:hAnsi="Calibri" w:cs="Calibri"/>
          <w:sz w:val="24"/>
          <w:szCs w:val="24"/>
          <w:rtl/>
        </w:rPr>
        <w:t>، ولزيارته إن أمكن. يكرر اليوم كل من: مركز الخليج لحقوق الإنسان، مؤسسة مارتن إ</w:t>
      </w:r>
      <w:r w:rsidR="004F4FE1">
        <w:rPr>
          <w:rFonts w:ascii="Calibri" w:eastAsia="Calibri" w:hAnsi="Calibri" w:cs="Calibri" w:hint="cs"/>
          <w:sz w:val="24"/>
          <w:szCs w:val="24"/>
          <w:rtl/>
        </w:rPr>
        <w:t>ي</w:t>
      </w:r>
      <w:r>
        <w:rPr>
          <w:rFonts w:ascii="Calibri" w:eastAsia="Calibri" w:hAnsi="Calibri" w:cs="Calibri"/>
          <w:sz w:val="24"/>
          <w:szCs w:val="24"/>
          <w:rtl/>
        </w:rPr>
        <w:t>نالز، فرونت لاين ديفندرز، الخدمة الدولية لحقوق الإنسان، مرصد حماية المدافعين عن حقوق الإنسان، وه</w:t>
      </w:r>
      <w:r w:rsidR="004F4FE1">
        <w:rPr>
          <w:rFonts w:ascii="Calibri" w:eastAsia="Calibri" w:hAnsi="Calibri" w:cs="Calibri" w:hint="cs"/>
          <w:sz w:val="24"/>
          <w:szCs w:val="24"/>
          <w:rtl/>
          <w:lang w:bidi="ar-LB"/>
        </w:rPr>
        <w:t>و</w:t>
      </w:r>
      <w:r>
        <w:rPr>
          <w:rFonts w:ascii="Calibri" w:eastAsia="Calibri" w:hAnsi="Calibri" w:cs="Calibri"/>
          <w:sz w:val="24"/>
          <w:szCs w:val="24"/>
          <w:rtl/>
        </w:rPr>
        <w:t xml:space="preserve"> شراكة بين الفدرالية الدولية لحقوق الإنسان والمنظمة العالمية لمناهضة التعذيب، وهم يصدرون تقريراً عن </w:t>
      </w:r>
      <w:r w:rsidR="004F4FE1">
        <w:rPr>
          <w:rFonts w:ascii="Calibri" w:eastAsia="Calibri" w:hAnsi="Calibri" w:cs="Calibri" w:hint="cs"/>
          <w:sz w:val="24"/>
          <w:szCs w:val="24"/>
          <w:rtl/>
        </w:rPr>
        <w:t xml:space="preserve">هذه </w:t>
      </w:r>
      <w:r>
        <w:rPr>
          <w:rFonts w:ascii="Calibri" w:eastAsia="Calibri" w:hAnsi="Calibri" w:cs="Calibri"/>
          <w:sz w:val="24"/>
          <w:szCs w:val="24"/>
          <w:rtl/>
        </w:rPr>
        <w:t>البعثة تحت عنوان "أحمد منصور، السجين المفقود"، ندائاتهم لإطلاق سراح منصور.</w:t>
      </w:r>
    </w:p>
    <w:p w14:paraId="78CB8A2D" w14:textId="77777777" w:rsidR="00220847" w:rsidRDefault="00220847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</w:p>
    <w:p w14:paraId="3380DA7B" w14:textId="1EDE2909" w:rsidR="00220847" w:rsidRDefault="00084F71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>حصل منصور، المحتجز منذ 20 مارس/آذار 2017 بسبب أنشطته في مجال حقوق الإنسان، على جائزة مارتن إ</w:t>
      </w:r>
      <w:r w:rsidR="004F4FE1">
        <w:rPr>
          <w:rFonts w:ascii="Calibri" w:eastAsia="Calibri" w:hAnsi="Calibri" w:cs="Calibri" w:hint="cs"/>
          <w:sz w:val="24"/>
          <w:szCs w:val="24"/>
          <w:rtl/>
        </w:rPr>
        <w:t>ي</w:t>
      </w:r>
      <w:r>
        <w:rPr>
          <w:rFonts w:ascii="Calibri" w:eastAsia="Calibri" w:hAnsi="Calibri" w:cs="Calibri"/>
          <w:sz w:val="24"/>
          <w:szCs w:val="24"/>
          <w:rtl/>
        </w:rPr>
        <w:t xml:space="preserve">نالز للمدافعين عن حقوق الإنسان في عام 2015، وهو عضو المجلس الاستشاري لمركز الخليج لحقوق الإنسان. وهو أيضاً أب لأربعة أبناء. </w:t>
      </w:r>
    </w:p>
    <w:p w14:paraId="714A7D84" w14:textId="77777777" w:rsidR="00220847" w:rsidRDefault="00220847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</w:p>
    <w:p w14:paraId="51BE332E" w14:textId="15D968D0" w:rsidR="00220847" w:rsidRDefault="00084F71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>وفقاً لتقارير وسائل الإعلام المحلية، أُدين أحمد منصور في 29 مايو/</w:t>
      </w:r>
      <w:r w:rsidR="004F4FE1">
        <w:rPr>
          <w:rFonts w:ascii="Calibri" w:eastAsia="Calibri" w:hAnsi="Calibri" w:cs="Calibri" w:hint="cs"/>
          <w:sz w:val="24"/>
          <w:szCs w:val="24"/>
          <w:rtl/>
        </w:rPr>
        <w:t>أيار</w:t>
      </w:r>
      <w:r>
        <w:rPr>
          <w:rFonts w:ascii="Calibri" w:eastAsia="Calibri" w:hAnsi="Calibri" w:cs="Calibri"/>
          <w:sz w:val="24"/>
          <w:szCs w:val="24"/>
          <w:rtl/>
        </w:rPr>
        <w:t xml:space="preserve"> 2018 وحُكم عليه بالسجن لمدة 10 سنوات من قبل غرفة أمن الدولة لدى المحكمة الاتحادية العليا.</w:t>
      </w:r>
      <w:r>
        <w:rPr>
          <w:rFonts w:ascii="Calibri" w:eastAsia="Calibri" w:hAnsi="Calibri" w:cs="Calibri"/>
          <w:sz w:val="24"/>
          <w:szCs w:val="24"/>
          <w:vertAlign w:val="superscript"/>
        </w:rPr>
        <w:footnoteReference w:id="1"/>
      </w:r>
      <w:r>
        <w:rPr>
          <w:rFonts w:ascii="Calibri" w:eastAsia="Calibri" w:hAnsi="Calibri" w:cs="Calibri"/>
          <w:sz w:val="24"/>
          <w:szCs w:val="24"/>
          <w:rtl/>
        </w:rPr>
        <w:t xml:space="preserve"> كما تم تغريمه مليون درهم (272,294.00 دولاراً أمريكياً)، وأمرت المحكمة </w:t>
      </w:r>
      <w:r>
        <w:rPr>
          <w:rFonts w:ascii="Calibri" w:eastAsia="Calibri" w:hAnsi="Calibri" w:cs="Calibri"/>
          <w:sz w:val="24"/>
          <w:szCs w:val="24"/>
          <w:rtl/>
        </w:rPr>
        <w:lastRenderedPageBreak/>
        <w:t xml:space="preserve">بوضعه تحت المراقبة لمدة ثلاث سنوات </w:t>
      </w:r>
      <w:r w:rsidR="004F4FE1">
        <w:rPr>
          <w:rFonts w:ascii="Calibri" w:eastAsia="Calibri" w:hAnsi="Calibri" w:cs="Calibri" w:hint="cs"/>
          <w:sz w:val="24"/>
          <w:szCs w:val="24"/>
          <w:rtl/>
        </w:rPr>
        <w:t>بعد</w:t>
      </w:r>
      <w:r>
        <w:rPr>
          <w:rFonts w:ascii="Calibri" w:eastAsia="Calibri" w:hAnsi="Calibri" w:cs="Calibri"/>
          <w:sz w:val="24"/>
          <w:szCs w:val="24"/>
          <w:rtl/>
        </w:rPr>
        <w:t xml:space="preserve"> الإفراج عنه. </w:t>
      </w:r>
      <w:r w:rsidR="004F4FE1">
        <w:rPr>
          <w:rFonts w:ascii="Calibri" w:eastAsia="Calibri" w:hAnsi="Calibri" w:cs="Calibri" w:hint="cs"/>
          <w:sz w:val="24"/>
          <w:szCs w:val="24"/>
          <w:rtl/>
        </w:rPr>
        <w:t xml:space="preserve">لقد </w:t>
      </w:r>
      <w:r>
        <w:rPr>
          <w:rFonts w:ascii="Calibri" w:eastAsia="Calibri" w:hAnsi="Calibri" w:cs="Calibri"/>
          <w:sz w:val="24"/>
          <w:szCs w:val="24"/>
          <w:rtl/>
        </w:rPr>
        <w:t xml:space="preserve">قالت وسائل الإعلام المحلية إن منصور أدين بتهمة "إهانة مكانة الإمارات وهيبتها ورموزها بما في ذلك قادتها " و" السعي إلى إلحاق الضرر بعلاقة الإمارات مع جيرانها بنشر تقارير ومعلومات زائفة على وسائل التواصل الاجتماعي." </w:t>
      </w:r>
      <w:r w:rsidR="004F4FE1">
        <w:rPr>
          <w:rFonts w:ascii="Calibri" w:eastAsia="Calibri" w:hAnsi="Calibri" w:cs="Calibri" w:hint="cs"/>
          <w:sz w:val="24"/>
          <w:szCs w:val="24"/>
          <w:rtl/>
        </w:rPr>
        <w:t>و</w:t>
      </w:r>
      <w:r>
        <w:rPr>
          <w:rFonts w:ascii="Calibri" w:eastAsia="Calibri" w:hAnsi="Calibri" w:cs="Calibri"/>
          <w:sz w:val="24"/>
          <w:szCs w:val="24"/>
          <w:rtl/>
        </w:rPr>
        <w:t>بموجب القوانين الجديدة في دولة الإمارات العربية المتحدة، سيكون من حق منصور استئناف الحكم.</w:t>
      </w:r>
    </w:p>
    <w:p w14:paraId="08BE39DD" w14:textId="77777777" w:rsidR="00220847" w:rsidRDefault="00220847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</w:p>
    <w:p w14:paraId="04BE9813" w14:textId="0C0D57EC" w:rsidR="00220847" w:rsidRDefault="00084F71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>يقول تقرير البعثة "أن هذه المحاكمة تثير عدداً من المخاوف" ووصفها بأنها "جائرة للغاية</w:t>
      </w:r>
      <w:r w:rsidR="004F4FE1">
        <w:rPr>
          <w:rFonts w:ascii="Calibri" w:eastAsia="Calibri" w:hAnsi="Calibri" w:cs="Calibri" w:hint="cs"/>
          <w:sz w:val="24"/>
          <w:szCs w:val="24"/>
          <w:rtl/>
        </w:rPr>
        <w:t>.</w:t>
      </w:r>
      <w:r>
        <w:rPr>
          <w:rFonts w:ascii="Calibri" w:eastAsia="Calibri" w:hAnsi="Calibri" w:cs="Calibri"/>
          <w:sz w:val="24"/>
          <w:szCs w:val="24"/>
          <w:rtl/>
        </w:rPr>
        <w:t xml:space="preserve">" كما قال تقرير البعثة: "أنه لم يعلن عن موعد المحاكمة. ذكرت وسائل الإعلام التهم والحكم، ولكن لم يصدر أي بيان علني أو معلومات حول المحاكمة نفسها. </w:t>
      </w:r>
      <w:r w:rsidR="004F4FE1">
        <w:rPr>
          <w:rFonts w:ascii="Calibri" w:eastAsia="Calibri" w:hAnsi="Calibri" w:cs="Calibri" w:hint="cs"/>
          <w:sz w:val="24"/>
          <w:szCs w:val="24"/>
          <w:rtl/>
        </w:rPr>
        <w:t xml:space="preserve">وبينما كان </w:t>
      </w:r>
      <w:r>
        <w:rPr>
          <w:rFonts w:ascii="Calibri" w:eastAsia="Calibri" w:hAnsi="Calibri" w:cs="Calibri"/>
          <w:sz w:val="24"/>
          <w:szCs w:val="24"/>
          <w:rtl/>
        </w:rPr>
        <w:t>منصور</w:t>
      </w:r>
      <w:r w:rsidR="004F4FE1">
        <w:rPr>
          <w:rFonts w:ascii="Calibri" w:eastAsia="Calibri" w:hAnsi="Calibri" w:cs="Calibri" w:hint="cs"/>
          <w:sz w:val="24"/>
          <w:szCs w:val="24"/>
          <w:rtl/>
        </w:rPr>
        <w:t xml:space="preserve"> يمثله محام ٍ</w:t>
      </w:r>
      <w:r>
        <w:rPr>
          <w:rFonts w:ascii="Calibri" w:eastAsia="Calibri" w:hAnsi="Calibri" w:cs="Calibri"/>
          <w:sz w:val="24"/>
          <w:szCs w:val="24"/>
          <w:rtl/>
        </w:rPr>
        <w:t>، إلا أنه لم يتم الإعلان عن ذلك في الصحف إلا بعدها. وعلاوة على ذلك، يبدو أن عملية الاستئناف ستعقد في نفس المحكمة."</w:t>
      </w:r>
    </w:p>
    <w:p w14:paraId="1EDCBAA4" w14:textId="77777777" w:rsidR="00220847" w:rsidRDefault="00220847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</w:p>
    <w:p w14:paraId="14F0DFBA" w14:textId="1AFE05B4" w:rsidR="00220847" w:rsidRDefault="00084F71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 xml:space="preserve">يخلص تقرير البعثة إلى أنه: "بالنظر إلى استخدام السلطات الإماراتية للتعذيب والحبس الإنفرادي الموثق على نطاق واسع، وعدم وجود أي معلومات من مصدر مستقل عن منصور، فأن هناك ما يدعو للخوف الشديد على سلامته. </w:t>
      </w:r>
      <w:r w:rsidR="004F4FE1">
        <w:rPr>
          <w:rFonts w:ascii="Calibri" w:eastAsia="Calibri" w:hAnsi="Calibri" w:cs="Calibri" w:hint="cs"/>
          <w:sz w:val="24"/>
          <w:szCs w:val="24"/>
          <w:rtl/>
        </w:rPr>
        <w:t>و</w:t>
      </w:r>
      <w:r>
        <w:rPr>
          <w:rFonts w:ascii="Calibri" w:eastAsia="Calibri" w:hAnsi="Calibri" w:cs="Calibri"/>
          <w:sz w:val="24"/>
          <w:szCs w:val="24"/>
          <w:rtl/>
        </w:rPr>
        <w:t>لا يزال مكان احتجازه مجهولاً، وي</w:t>
      </w:r>
      <w:r w:rsidR="004F4FE1">
        <w:rPr>
          <w:rFonts w:ascii="Calibri" w:eastAsia="Calibri" w:hAnsi="Calibri" w:cs="Calibri" w:hint="cs"/>
          <w:sz w:val="24"/>
          <w:szCs w:val="24"/>
          <w:rtl/>
        </w:rPr>
        <w:t>ُ</w:t>
      </w:r>
      <w:r>
        <w:rPr>
          <w:rFonts w:ascii="Calibri" w:eastAsia="Calibri" w:hAnsi="Calibri" w:cs="Calibri"/>
          <w:sz w:val="24"/>
          <w:szCs w:val="24"/>
          <w:rtl/>
        </w:rPr>
        <w:t>عتقد أنه محتجز</w:t>
      </w:r>
      <w:r w:rsidR="004F5EA3">
        <w:rPr>
          <w:rFonts w:ascii="Calibri" w:eastAsia="Calibri" w:hAnsi="Calibri" w:cs="Calibri" w:hint="cs"/>
          <w:sz w:val="24"/>
          <w:szCs w:val="24"/>
          <w:rtl/>
        </w:rPr>
        <w:t xml:space="preserve">اً </w:t>
      </w:r>
      <w:r>
        <w:rPr>
          <w:rFonts w:ascii="Calibri" w:eastAsia="Calibri" w:hAnsi="Calibri" w:cs="Calibri"/>
          <w:sz w:val="24"/>
          <w:szCs w:val="24"/>
          <w:rtl/>
        </w:rPr>
        <w:t>في سجن</w:t>
      </w:r>
      <w:r w:rsidR="004F5EA3">
        <w:rPr>
          <w:rFonts w:ascii="Calibri" w:eastAsia="Calibri" w:hAnsi="Calibri" w:cs="Calibri" w:hint="cs"/>
          <w:sz w:val="24"/>
          <w:szCs w:val="24"/>
          <w:rtl/>
        </w:rPr>
        <w:t>ٍ</w:t>
      </w:r>
      <w:r>
        <w:rPr>
          <w:rFonts w:ascii="Calibri" w:eastAsia="Calibri" w:hAnsi="Calibri" w:cs="Calibri"/>
          <w:sz w:val="24"/>
          <w:szCs w:val="24"/>
          <w:rtl/>
        </w:rPr>
        <w:t xml:space="preserve"> تابع لجهاز أمن الدولة. لا توجد معلومات عن </w:t>
      </w:r>
      <w:r w:rsidR="004F5EA3">
        <w:rPr>
          <w:rFonts w:ascii="Calibri" w:eastAsia="Calibri" w:hAnsi="Calibri" w:cs="Calibri" w:hint="cs"/>
          <w:sz w:val="24"/>
          <w:szCs w:val="24"/>
          <w:rtl/>
        </w:rPr>
        <w:t>كيفية</w:t>
      </w:r>
      <w:r>
        <w:rPr>
          <w:rFonts w:ascii="Calibri" w:eastAsia="Calibri" w:hAnsi="Calibri" w:cs="Calibri"/>
          <w:sz w:val="24"/>
          <w:szCs w:val="24"/>
          <w:rtl/>
        </w:rPr>
        <w:t xml:space="preserve"> معاملته، أو ما إذا كان في الحبس الانفرادي."</w:t>
      </w:r>
    </w:p>
    <w:p w14:paraId="77C3943F" w14:textId="77777777" w:rsidR="00220847" w:rsidRDefault="00220847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</w:p>
    <w:p w14:paraId="251B1F23" w14:textId="77777777" w:rsidR="00A34399" w:rsidRDefault="00A34399" w:rsidP="00A34399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</w:p>
    <w:p w14:paraId="1C864B12" w14:textId="4D69B015" w:rsidR="00A34399" w:rsidRDefault="00A34399" w:rsidP="00A34399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>في 12 يونيو/حزيران 2018، حثّ خبراء حقوق الإنسان في الأمم المتحدة</w:t>
      </w:r>
      <w:r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  <w:r>
        <w:rPr>
          <w:rFonts w:ascii="Calibri" w:eastAsia="Calibri" w:hAnsi="Calibri" w:cs="Calibri"/>
          <w:sz w:val="24"/>
          <w:szCs w:val="24"/>
          <w:rtl/>
        </w:rPr>
        <w:t xml:space="preserve"> السلطات الإماراتية على الإفراج الفوري عن منصور و"إسقاط التهم الموجهة </w:t>
      </w:r>
      <w:r w:rsidR="004F5EA3">
        <w:rPr>
          <w:rFonts w:ascii="Calibri" w:eastAsia="Calibri" w:hAnsi="Calibri" w:cs="Calibri" w:hint="cs"/>
          <w:sz w:val="24"/>
          <w:szCs w:val="24"/>
          <w:rtl/>
        </w:rPr>
        <w:t>ضده.</w:t>
      </w:r>
      <w:r>
        <w:rPr>
          <w:rFonts w:ascii="Calibri" w:eastAsia="Calibri" w:hAnsi="Calibri" w:cs="Calibri"/>
          <w:sz w:val="24"/>
          <w:szCs w:val="24"/>
          <w:rtl/>
        </w:rPr>
        <w:t>" وصرحوا: "يمثل الحكم على أحمد منصور هجوما</w:t>
      </w:r>
      <w:r w:rsidR="004F5EA3">
        <w:rPr>
          <w:rFonts w:ascii="Calibri" w:eastAsia="Calibri" w:hAnsi="Calibri" w:cs="Calibri" w:hint="cs"/>
          <w:sz w:val="24"/>
          <w:szCs w:val="24"/>
          <w:rtl/>
        </w:rPr>
        <w:t>ً</w:t>
      </w:r>
      <w:r>
        <w:rPr>
          <w:rFonts w:ascii="Calibri" w:eastAsia="Calibri" w:hAnsi="Calibri" w:cs="Calibri"/>
          <w:sz w:val="24"/>
          <w:szCs w:val="24"/>
          <w:rtl/>
        </w:rPr>
        <w:t xml:space="preserve"> غير مقبول على حرية التعبير وحرية تكوين الجمعيات، وكذلك على المدافعين عن حقوق الإنسان في دولة الإمارات العربية المتحدة ككل</w:t>
      </w:r>
      <w:r w:rsidR="004F5EA3">
        <w:rPr>
          <w:rFonts w:ascii="Calibri" w:eastAsia="Calibri" w:hAnsi="Calibri" w:cs="Calibri" w:hint="cs"/>
          <w:sz w:val="24"/>
          <w:szCs w:val="24"/>
          <w:rtl/>
        </w:rPr>
        <w:t>.</w:t>
      </w:r>
      <w:r>
        <w:rPr>
          <w:rFonts w:ascii="Calibri" w:eastAsia="Calibri" w:hAnsi="Calibri" w:cs="Calibri"/>
          <w:sz w:val="24"/>
          <w:szCs w:val="24"/>
          <w:rtl/>
        </w:rPr>
        <w:t>"</w:t>
      </w:r>
      <w:r w:rsidR="004F5EA3">
        <w:rPr>
          <w:rFonts w:ascii="Calibri" w:eastAsia="Calibri" w:hAnsi="Calibri" w:cs="Calibri" w:hint="cs"/>
          <w:sz w:val="24"/>
          <w:szCs w:val="24"/>
          <w:rtl/>
        </w:rPr>
        <w:t xml:space="preserve"> </w:t>
      </w:r>
      <w:r>
        <w:rPr>
          <w:rFonts w:ascii="Calibri" w:eastAsia="Calibri" w:hAnsi="Calibri" w:cs="Calibri"/>
          <w:sz w:val="24"/>
          <w:szCs w:val="24"/>
          <w:rtl/>
        </w:rPr>
        <w:t>وأضاف خبراء الأمم المتحدة: "إن هذه العقوبة ليست غير معقولة فحسب، بل يجب ألا يتم احتجاز السيد منصور في المقام الأول لممارس</w:t>
      </w:r>
      <w:r w:rsidR="004F5EA3">
        <w:rPr>
          <w:rFonts w:ascii="Calibri" w:eastAsia="Calibri" w:hAnsi="Calibri" w:cs="Calibri" w:hint="cs"/>
          <w:sz w:val="24"/>
          <w:szCs w:val="24"/>
          <w:rtl/>
        </w:rPr>
        <w:t>ته</w:t>
      </w:r>
      <w:r>
        <w:rPr>
          <w:rFonts w:ascii="Calibri" w:eastAsia="Calibri" w:hAnsi="Calibri" w:cs="Calibri"/>
          <w:sz w:val="24"/>
          <w:szCs w:val="24"/>
          <w:rtl/>
        </w:rPr>
        <w:t xml:space="preserve"> الحريات التي يحق لجميع الأشخاص، بما في ذلك المدافع</w:t>
      </w:r>
      <w:r w:rsidR="004F5EA3">
        <w:rPr>
          <w:rFonts w:ascii="Calibri" w:eastAsia="Calibri" w:hAnsi="Calibri" w:cs="Calibri" w:hint="cs"/>
          <w:sz w:val="24"/>
          <w:szCs w:val="24"/>
          <w:rtl/>
        </w:rPr>
        <w:t>ي</w:t>
      </w:r>
      <w:r>
        <w:rPr>
          <w:rFonts w:ascii="Calibri" w:eastAsia="Calibri" w:hAnsi="Calibri" w:cs="Calibri"/>
          <w:sz w:val="24"/>
          <w:szCs w:val="24"/>
          <w:rtl/>
        </w:rPr>
        <w:t>ن عن حقوق الإنسان، ممارستها بشكل شرعي."</w:t>
      </w:r>
    </w:p>
    <w:p w14:paraId="66FAC4B5" w14:textId="77777777" w:rsidR="00A34399" w:rsidRDefault="00A34399" w:rsidP="00A34399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</w:p>
    <w:p w14:paraId="24C908C4" w14:textId="32300E04" w:rsidR="00220847" w:rsidRDefault="00084F71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rtl/>
        </w:rPr>
        <w:t>التقرير متاح باللغتين الإن</w:t>
      </w:r>
      <w:r w:rsidR="004F5EA3">
        <w:rPr>
          <w:rFonts w:ascii="Calibri" w:eastAsia="Calibri" w:hAnsi="Calibri" w:cs="Calibri" w:hint="cs"/>
          <w:sz w:val="24"/>
          <w:szCs w:val="24"/>
          <w:rtl/>
        </w:rPr>
        <w:t>ك</w:t>
      </w:r>
      <w:r>
        <w:rPr>
          <w:rFonts w:ascii="Calibri" w:eastAsia="Calibri" w:hAnsi="Calibri" w:cs="Calibri"/>
          <w:sz w:val="24"/>
          <w:szCs w:val="24"/>
          <w:rtl/>
        </w:rPr>
        <w:t xml:space="preserve">ليزية والعربية. </w:t>
      </w:r>
      <w:r w:rsidR="004F5EA3">
        <w:rPr>
          <w:rFonts w:ascii="Calibri" w:eastAsia="Calibri" w:hAnsi="Calibri" w:cs="Calibri" w:hint="cs"/>
          <w:sz w:val="24"/>
          <w:szCs w:val="24"/>
          <w:rtl/>
        </w:rPr>
        <w:t>ل</w:t>
      </w:r>
      <w:r>
        <w:rPr>
          <w:rFonts w:ascii="Calibri" w:eastAsia="Calibri" w:hAnsi="Calibri" w:cs="Calibri"/>
          <w:sz w:val="24"/>
          <w:szCs w:val="24"/>
          <w:rtl/>
        </w:rPr>
        <w:t xml:space="preserve">تحميل النسخة الكاملة من التقرير باللغة العربية </w:t>
      </w:r>
      <w:r w:rsidRPr="00DA0F3D">
        <w:rPr>
          <w:rFonts w:ascii="Calibri" w:eastAsia="Calibri" w:hAnsi="Calibri" w:cs="Calibri"/>
          <w:sz w:val="24"/>
          <w:szCs w:val="24"/>
          <w:rtl/>
        </w:rPr>
        <w:t>اضغط هنا</w:t>
      </w:r>
      <w:bookmarkStart w:id="0" w:name="_GoBack"/>
      <w:bookmarkEnd w:id="0"/>
    </w:p>
    <w:p w14:paraId="6E2F804E" w14:textId="77777777" w:rsidR="00DA0F3D" w:rsidRPr="00BB03A8" w:rsidRDefault="00DA0F3D" w:rsidP="00DA0F3D">
      <w:pPr>
        <w:numPr>
          <w:ilvl w:val="0"/>
          <w:numId w:val="1"/>
        </w:numPr>
        <w:bidi/>
        <w:contextualSpacing w:val="0"/>
        <w:rPr>
          <w:rFonts w:ascii="Calibri" w:eastAsia="Calibri" w:hAnsi="Calibri" w:cs="Calibri"/>
          <w:sz w:val="24"/>
          <w:szCs w:val="24"/>
          <w:lang w:val="en-CA"/>
        </w:rPr>
      </w:pPr>
      <w:hyperlink r:id="rId9" w:history="1">
        <w:r w:rsidRPr="00BB03A8">
          <w:rPr>
            <w:rStyle w:val="Lienhypertexte"/>
            <w:rFonts w:ascii="Calibri" w:eastAsia="Calibri" w:hAnsi="Calibri" w:cs="Calibri"/>
            <w:sz w:val="24"/>
            <w:szCs w:val="24"/>
            <w:lang w:val="en-CA"/>
          </w:rPr>
          <w:t>https://www.fidh.org/en/issues/human-rights-defenders/uae-mission-report-illustrates-difficulty-of-verifying-conditions-of</w:t>
        </w:r>
      </w:hyperlink>
      <w:r w:rsidRPr="00BB03A8">
        <w:rPr>
          <w:rFonts w:ascii="Calibri" w:eastAsia="Calibri" w:hAnsi="Calibri" w:cs="Calibri"/>
          <w:sz w:val="24"/>
          <w:szCs w:val="24"/>
          <w:lang w:val="en-CA"/>
        </w:rPr>
        <w:t xml:space="preserve"> </w:t>
      </w:r>
    </w:p>
    <w:p w14:paraId="2F5A31AA" w14:textId="77777777" w:rsidR="00DA0F3D" w:rsidRPr="00BB03A8" w:rsidRDefault="00DA0F3D" w:rsidP="00DA0F3D">
      <w:pPr>
        <w:numPr>
          <w:ilvl w:val="0"/>
          <w:numId w:val="1"/>
        </w:numPr>
        <w:bidi/>
        <w:contextualSpacing w:val="0"/>
        <w:rPr>
          <w:rFonts w:ascii="Calibri" w:eastAsia="Calibri" w:hAnsi="Calibri" w:cs="Calibri"/>
          <w:sz w:val="24"/>
          <w:szCs w:val="24"/>
          <w:lang w:val="en-CA"/>
        </w:rPr>
      </w:pPr>
      <w:hyperlink r:id="rId10" w:history="1">
        <w:r w:rsidRPr="00BB03A8">
          <w:rPr>
            <w:rStyle w:val="Lienhypertexte"/>
            <w:rFonts w:ascii="Calibri" w:eastAsia="Calibri" w:hAnsi="Calibri" w:cs="Calibri"/>
            <w:sz w:val="24"/>
            <w:szCs w:val="24"/>
            <w:lang w:val="en-CA"/>
          </w:rPr>
          <w:t>http://www.omct.org/human-rights-defenders/reports-and-publications/united-arab-emirates/2018/06/d24932/</w:t>
        </w:r>
      </w:hyperlink>
      <w:r w:rsidRPr="00BB03A8">
        <w:rPr>
          <w:rFonts w:ascii="Calibri" w:eastAsia="Calibri" w:hAnsi="Calibri" w:cs="Calibri"/>
          <w:sz w:val="24"/>
          <w:szCs w:val="24"/>
          <w:lang w:val="en-CA"/>
        </w:rPr>
        <w:t xml:space="preserve"> </w:t>
      </w:r>
    </w:p>
    <w:p w14:paraId="4F621A73" w14:textId="77777777" w:rsidR="00220847" w:rsidRDefault="00220847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</w:p>
    <w:p w14:paraId="019D800E" w14:textId="77777777" w:rsidR="00220847" w:rsidRDefault="00220847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</w:p>
    <w:p w14:paraId="12463723" w14:textId="77777777" w:rsidR="00220847" w:rsidRDefault="00220847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</w:p>
    <w:p w14:paraId="2ABDE6F9" w14:textId="77777777" w:rsidR="00220847" w:rsidRDefault="00220847">
      <w:pPr>
        <w:bidi/>
        <w:contextualSpacing w:val="0"/>
        <w:rPr>
          <w:rFonts w:ascii="Calibri" w:eastAsia="Calibri" w:hAnsi="Calibri" w:cs="Calibri"/>
          <w:sz w:val="24"/>
          <w:szCs w:val="24"/>
        </w:rPr>
      </w:pPr>
    </w:p>
    <w:sectPr w:rsidR="0022084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A2F71" w14:textId="77777777" w:rsidR="002476EC" w:rsidRDefault="002476EC">
      <w:pPr>
        <w:spacing w:line="240" w:lineRule="auto"/>
      </w:pPr>
      <w:r>
        <w:separator/>
      </w:r>
    </w:p>
  </w:endnote>
  <w:endnote w:type="continuationSeparator" w:id="0">
    <w:p w14:paraId="1950D43A" w14:textId="77777777" w:rsidR="002476EC" w:rsidRDefault="00247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C9B14" w14:textId="77777777" w:rsidR="002476EC" w:rsidRDefault="002476EC">
      <w:pPr>
        <w:spacing w:line="240" w:lineRule="auto"/>
      </w:pPr>
      <w:r>
        <w:separator/>
      </w:r>
    </w:p>
  </w:footnote>
  <w:footnote w:type="continuationSeparator" w:id="0">
    <w:p w14:paraId="05C8AACE" w14:textId="77777777" w:rsidR="002476EC" w:rsidRDefault="002476EC">
      <w:pPr>
        <w:spacing w:line="240" w:lineRule="auto"/>
      </w:pPr>
      <w:r>
        <w:continuationSeparator/>
      </w:r>
    </w:p>
  </w:footnote>
  <w:footnote w:id="1">
    <w:p w14:paraId="37451358" w14:textId="77777777" w:rsidR="00220847" w:rsidRDefault="00084F71">
      <w:pPr>
        <w:spacing w:line="240" w:lineRule="auto"/>
        <w:contextualSpacing w:val="0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https://www.gc4hr.org/news/view/1876</w:t>
      </w:r>
    </w:p>
  </w:footnote>
  <w:footnote w:id="2">
    <w:p w14:paraId="7003E2CB" w14:textId="77777777" w:rsidR="00A34399" w:rsidRDefault="00A34399" w:rsidP="00A3439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https://www.ohchr.org/ar/NewsEvents/Pages/DisplayNews.aspx?NewsID=23195&amp;LangID=E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3671B"/>
    <w:multiLevelType w:val="hybridMultilevel"/>
    <w:tmpl w:val="71A2A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47"/>
    <w:rsid w:val="00084F71"/>
    <w:rsid w:val="000A7A6C"/>
    <w:rsid w:val="00220847"/>
    <w:rsid w:val="002476EC"/>
    <w:rsid w:val="004F4FE1"/>
    <w:rsid w:val="004F5EA3"/>
    <w:rsid w:val="00A34399"/>
    <w:rsid w:val="00AF0C7F"/>
    <w:rsid w:val="00C06C2D"/>
    <w:rsid w:val="00D37AF7"/>
    <w:rsid w:val="00DA0F3D"/>
    <w:rsid w:val="00F6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43F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0F3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F3D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A0F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0F3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F3D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A0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www.fidh.org/en/issues/human-rights-defenders/uae-mission-report-illustrates-difficulty-of-verifying-conditions-of" TargetMode="External"/><Relationship Id="rId10" Type="http://schemas.openxmlformats.org/officeDocument/2006/relationships/hyperlink" Target="http://www.omct.org/human-rights-defenders/reports-and-publications/united-arab-emirates/2018/06/d249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3136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Stockwood</dc:creator>
  <cp:lastModifiedBy>Miguel Martin Zumalacarregui</cp:lastModifiedBy>
  <cp:revision>3</cp:revision>
  <dcterms:created xsi:type="dcterms:W3CDTF">2018-06-20T09:21:00Z</dcterms:created>
  <dcterms:modified xsi:type="dcterms:W3CDTF">2018-06-20T14:46:00Z</dcterms:modified>
</cp:coreProperties>
</file>