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7148" w14:textId="022EBD7A" w:rsidR="00BD6C84" w:rsidRPr="00264799" w:rsidRDefault="00BD6C84" w:rsidP="00264799">
      <w:pPr>
        <w:pStyle w:val="NormalWeb"/>
        <w:spacing w:line="276" w:lineRule="auto"/>
        <w:jc w:val="center"/>
        <w:rPr>
          <w:rStyle w:val="Strong"/>
          <w:rFonts w:eastAsiaTheme="majorEastAsia"/>
          <w:color w:val="000000"/>
        </w:rPr>
      </w:pPr>
    </w:p>
    <w:p w14:paraId="7E78DF87" w14:textId="3C869D24" w:rsidR="00BD6C84" w:rsidRPr="00DA29ED" w:rsidRDefault="007D0710" w:rsidP="00264799">
      <w:pPr>
        <w:pStyle w:val="NormalWeb"/>
        <w:spacing w:line="276" w:lineRule="auto"/>
        <w:jc w:val="center"/>
        <w:rPr>
          <w:rStyle w:val="Strong"/>
          <w:rFonts w:eastAsiaTheme="majorEastAsia"/>
          <w:color w:val="000000"/>
          <w:sz w:val="32"/>
          <w:szCs w:val="32"/>
        </w:rPr>
      </w:pPr>
      <w:r>
        <w:rPr>
          <w:rFonts w:ascii="Arial" w:hAnsi="Arial" w:cs="Arial"/>
          <w:noProof/>
          <w:sz w:val="20"/>
          <w:szCs w:val="20"/>
        </w:rPr>
        <w:drawing>
          <wp:inline distT="0" distB="0" distL="0" distR="0" wp14:anchorId="783E876A" wp14:editId="03FC4B19">
            <wp:extent cx="1907930" cy="1143881"/>
            <wp:effectExtent l="0" t="0" r="0" b="0"/>
            <wp:docPr id="2" name="Image 1"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A black and red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614" cy="1166474"/>
                    </a:xfrm>
                    <a:prstGeom prst="rect">
                      <a:avLst/>
                    </a:prstGeom>
                    <a:noFill/>
                    <a:ln>
                      <a:noFill/>
                    </a:ln>
                  </pic:spPr>
                </pic:pic>
              </a:graphicData>
            </a:graphic>
          </wp:inline>
        </w:drawing>
      </w:r>
      <w:r w:rsidR="00C35003">
        <w:rPr>
          <w:rStyle w:val="Strong"/>
          <w:rFonts w:eastAsiaTheme="majorEastAsia"/>
          <w:color w:val="000000"/>
          <w:sz w:val="32"/>
          <w:szCs w:val="32"/>
        </w:rPr>
        <w:tab/>
      </w:r>
      <w:r>
        <w:rPr>
          <w:b/>
          <w:noProof/>
          <w:sz w:val="28"/>
          <w:szCs w:val="28"/>
        </w:rPr>
        <w:drawing>
          <wp:inline distT="114300" distB="114300" distL="114300" distR="114300" wp14:anchorId="4BB53D54" wp14:editId="307BB096">
            <wp:extent cx="1428750" cy="1314450"/>
            <wp:effectExtent l="0" t="0" r="0" b="0"/>
            <wp:docPr id="1160944953" name="image1.png" descr="A logo of a dove and people&#10;&#10;AI-generated content may be incorrect."/>
            <wp:cNvGraphicFramePr/>
            <a:graphic xmlns:a="http://schemas.openxmlformats.org/drawingml/2006/main">
              <a:graphicData uri="http://schemas.openxmlformats.org/drawingml/2006/picture">
                <pic:pic xmlns:pic="http://schemas.openxmlformats.org/drawingml/2006/picture">
                  <pic:nvPicPr>
                    <pic:cNvPr id="1160944953" name="image1.png" descr="A logo of a dove and people&#10;&#10;AI-generated content may be incorrect."/>
                    <pic:cNvPicPr preferRelativeResize="0"/>
                  </pic:nvPicPr>
                  <pic:blipFill>
                    <a:blip r:embed="rId9"/>
                    <a:srcRect/>
                    <a:stretch>
                      <a:fillRect/>
                    </a:stretch>
                  </pic:blipFill>
                  <pic:spPr>
                    <a:xfrm>
                      <a:off x="0" y="0"/>
                      <a:ext cx="1428750" cy="1314450"/>
                    </a:xfrm>
                    <a:prstGeom prst="rect">
                      <a:avLst/>
                    </a:prstGeom>
                    <a:ln/>
                  </pic:spPr>
                </pic:pic>
              </a:graphicData>
            </a:graphic>
          </wp:inline>
        </w:drawing>
      </w:r>
    </w:p>
    <w:p w14:paraId="0875303F" w14:textId="77777777" w:rsidR="00262A04" w:rsidRDefault="00262A04" w:rsidP="00264799">
      <w:pPr>
        <w:pStyle w:val="NormalWeb"/>
        <w:spacing w:line="276" w:lineRule="auto"/>
        <w:jc w:val="center"/>
        <w:rPr>
          <w:rStyle w:val="Strong"/>
          <w:rFonts w:eastAsiaTheme="majorEastAsia"/>
          <w:color w:val="000000"/>
          <w:sz w:val="32"/>
          <w:szCs w:val="32"/>
        </w:rPr>
      </w:pPr>
    </w:p>
    <w:p w14:paraId="5F9A1888" w14:textId="77777777" w:rsidR="005C7142" w:rsidRDefault="005C7142" w:rsidP="00264799">
      <w:pPr>
        <w:pStyle w:val="NormalWeb"/>
        <w:spacing w:line="276" w:lineRule="auto"/>
        <w:jc w:val="center"/>
        <w:rPr>
          <w:rStyle w:val="Strong"/>
          <w:rFonts w:eastAsiaTheme="majorEastAsia"/>
          <w:color w:val="000000"/>
          <w:sz w:val="32"/>
          <w:szCs w:val="32"/>
        </w:rPr>
      </w:pPr>
    </w:p>
    <w:p w14:paraId="245CBE7F" w14:textId="77777777" w:rsidR="005C7142" w:rsidRDefault="005C7142" w:rsidP="00264799">
      <w:pPr>
        <w:pStyle w:val="NormalWeb"/>
        <w:spacing w:line="276" w:lineRule="auto"/>
        <w:jc w:val="center"/>
        <w:rPr>
          <w:rStyle w:val="Strong"/>
          <w:rFonts w:eastAsiaTheme="majorEastAsia"/>
          <w:color w:val="000000"/>
          <w:sz w:val="32"/>
          <w:szCs w:val="32"/>
        </w:rPr>
      </w:pPr>
    </w:p>
    <w:p w14:paraId="7A781290" w14:textId="07A8D45A" w:rsidR="005C7142" w:rsidRDefault="003F2AC0" w:rsidP="00264799">
      <w:pPr>
        <w:pStyle w:val="NormalWeb"/>
        <w:spacing w:line="276" w:lineRule="auto"/>
        <w:jc w:val="center"/>
        <w:rPr>
          <w:rStyle w:val="Strong"/>
          <w:rFonts w:eastAsiaTheme="majorEastAsia"/>
          <w:color w:val="000000"/>
          <w:sz w:val="32"/>
          <w:szCs w:val="32"/>
        </w:rPr>
      </w:pPr>
      <w:r w:rsidRPr="00264799">
        <w:rPr>
          <w:rStyle w:val="Strong"/>
          <w:rFonts w:eastAsiaTheme="majorEastAsia"/>
          <w:color w:val="000000"/>
          <w:sz w:val="32"/>
          <w:szCs w:val="32"/>
        </w:rPr>
        <w:t xml:space="preserve">Rapport alternatif </w:t>
      </w:r>
      <w:r w:rsidR="007145E7" w:rsidRPr="00DA29ED">
        <w:rPr>
          <w:rStyle w:val="Strong"/>
          <w:rFonts w:eastAsiaTheme="majorEastAsia"/>
          <w:color w:val="000000"/>
          <w:sz w:val="32"/>
          <w:szCs w:val="32"/>
        </w:rPr>
        <w:t xml:space="preserve">de la société civile </w:t>
      </w:r>
    </w:p>
    <w:p w14:paraId="41B518EB" w14:textId="77777777" w:rsidR="00E24BCB" w:rsidRDefault="00E24BCB" w:rsidP="00264799">
      <w:pPr>
        <w:pStyle w:val="NormalWeb"/>
        <w:spacing w:line="276" w:lineRule="auto"/>
        <w:jc w:val="center"/>
        <w:rPr>
          <w:rStyle w:val="Strong"/>
          <w:rFonts w:eastAsiaTheme="majorEastAsia"/>
          <w:color w:val="000000"/>
          <w:sz w:val="32"/>
          <w:szCs w:val="32"/>
        </w:rPr>
      </w:pPr>
    </w:p>
    <w:p w14:paraId="1BE515A5" w14:textId="442FBA80" w:rsidR="003F2AC0" w:rsidRPr="00DA29ED" w:rsidRDefault="00E24BCB" w:rsidP="00264799">
      <w:pPr>
        <w:pStyle w:val="NormalWeb"/>
        <w:spacing w:line="276" w:lineRule="auto"/>
        <w:jc w:val="center"/>
        <w:rPr>
          <w:rStyle w:val="Strong"/>
          <w:rFonts w:eastAsiaTheme="majorEastAsia"/>
          <w:color w:val="000000"/>
          <w:sz w:val="32"/>
          <w:szCs w:val="32"/>
        </w:rPr>
      </w:pPr>
      <w:r>
        <w:rPr>
          <w:rStyle w:val="Strong"/>
          <w:rFonts w:eastAsiaTheme="majorEastAsia"/>
          <w:color w:val="000000"/>
          <w:sz w:val="32"/>
          <w:szCs w:val="32"/>
        </w:rPr>
        <w:t xml:space="preserve">En vue de l’examen du troisième rapport périodique du Tchad lors de la </w:t>
      </w:r>
      <w:r w:rsidR="005C7142">
        <w:rPr>
          <w:rStyle w:val="Strong"/>
          <w:rFonts w:eastAsiaTheme="majorEastAsia"/>
          <w:color w:val="000000"/>
          <w:sz w:val="32"/>
          <w:szCs w:val="32"/>
        </w:rPr>
        <w:t>145</w:t>
      </w:r>
      <w:r w:rsidR="005C7142" w:rsidRPr="005C7142">
        <w:rPr>
          <w:rStyle w:val="Strong"/>
          <w:rFonts w:eastAsiaTheme="majorEastAsia"/>
          <w:color w:val="000000"/>
          <w:sz w:val="32"/>
          <w:szCs w:val="32"/>
          <w:vertAlign w:val="superscript"/>
        </w:rPr>
        <w:t>e</w:t>
      </w:r>
      <w:r w:rsidR="005C7142">
        <w:rPr>
          <w:rStyle w:val="Strong"/>
          <w:rFonts w:eastAsiaTheme="majorEastAsia"/>
          <w:color w:val="000000"/>
          <w:sz w:val="32"/>
          <w:szCs w:val="32"/>
        </w:rPr>
        <w:t xml:space="preserve"> session du </w:t>
      </w:r>
      <w:r w:rsidR="003F2AC0" w:rsidRPr="00264799">
        <w:rPr>
          <w:rStyle w:val="Strong"/>
          <w:rFonts w:eastAsiaTheme="majorEastAsia"/>
          <w:color w:val="000000"/>
          <w:sz w:val="32"/>
          <w:szCs w:val="32"/>
        </w:rPr>
        <w:t>C</w:t>
      </w:r>
      <w:r w:rsidR="007145E7" w:rsidRPr="00DA29ED">
        <w:rPr>
          <w:rStyle w:val="Strong"/>
          <w:rFonts w:eastAsiaTheme="majorEastAsia"/>
          <w:color w:val="000000"/>
          <w:sz w:val="32"/>
          <w:szCs w:val="32"/>
        </w:rPr>
        <w:t xml:space="preserve">omité </w:t>
      </w:r>
      <w:r w:rsidR="005C7142">
        <w:rPr>
          <w:rStyle w:val="Strong"/>
          <w:rFonts w:eastAsiaTheme="majorEastAsia"/>
          <w:color w:val="000000"/>
          <w:sz w:val="32"/>
          <w:szCs w:val="32"/>
        </w:rPr>
        <w:t>des Droits de l’Homme</w:t>
      </w:r>
      <w:r w:rsidR="007145E7" w:rsidRPr="00DA29ED">
        <w:rPr>
          <w:rStyle w:val="Strong"/>
          <w:rFonts w:eastAsiaTheme="majorEastAsia"/>
          <w:color w:val="000000"/>
          <w:sz w:val="32"/>
          <w:szCs w:val="32"/>
        </w:rPr>
        <w:t xml:space="preserve"> des Nations-Unies</w:t>
      </w:r>
      <w:r w:rsidR="003F2AC0" w:rsidRPr="00264799">
        <w:rPr>
          <w:rStyle w:val="Strong"/>
          <w:rFonts w:eastAsiaTheme="majorEastAsia"/>
          <w:color w:val="000000"/>
          <w:sz w:val="32"/>
          <w:szCs w:val="32"/>
        </w:rPr>
        <w:t xml:space="preserve"> </w:t>
      </w:r>
    </w:p>
    <w:p w14:paraId="13A01BC5" w14:textId="77777777" w:rsidR="00907027" w:rsidRPr="00DA29ED" w:rsidRDefault="00907027" w:rsidP="00264799">
      <w:pPr>
        <w:pStyle w:val="NormalWeb"/>
        <w:spacing w:line="276" w:lineRule="auto"/>
        <w:jc w:val="center"/>
        <w:rPr>
          <w:rStyle w:val="Strong"/>
          <w:rFonts w:eastAsiaTheme="majorEastAsia"/>
          <w:color w:val="000000"/>
          <w:sz w:val="32"/>
          <w:szCs w:val="32"/>
        </w:rPr>
      </w:pPr>
    </w:p>
    <w:p w14:paraId="5D795F1C" w14:textId="77777777" w:rsidR="00907027" w:rsidRPr="00DA29ED" w:rsidRDefault="00907027" w:rsidP="00264799">
      <w:pPr>
        <w:pStyle w:val="NormalWeb"/>
        <w:spacing w:line="276" w:lineRule="auto"/>
        <w:jc w:val="center"/>
        <w:rPr>
          <w:rStyle w:val="Strong"/>
          <w:rFonts w:eastAsiaTheme="majorEastAsia"/>
          <w:color w:val="000000"/>
          <w:sz w:val="32"/>
          <w:szCs w:val="32"/>
        </w:rPr>
      </w:pPr>
    </w:p>
    <w:p w14:paraId="63B6358B" w14:textId="77777777" w:rsidR="00907027" w:rsidRPr="00264799" w:rsidRDefault="00907027" w:rsidP="00264799">
      <w:pPr>
        <w:pStyle w:val="NormalWeb"/>
        <w:spacing w:line="276" w:lineRule="auto"/>
        <w:jc w:val="center"/>
        <w:rPr>
          <w:color w:val="000000"/>
          <w:sz w:val="32"/>
          <w:szCs w:val="32"/>
        </w:rPr>
      </w:pPr>
    </w:p>
    <w:p w14:paraId="616F53ED" w14:textId="2E5A4FDB" w:rsidR="007145E7" w:rsidRPr="00264799" w:rsidRDefault="00484801" w:rsidP="00264799">
      <w:pPr>
        <w:pStyle w:val="NormalWeb"/>
        <w:spacing w:line="276" w:lineRule="auto"/>
        <w:jc w:val="center"/>
        <w:rPr>
          <w:rStyle w:val="Strong"/>
          <w:rFonts w:eastAsiaTheme="majorEastAsia"/>
          <w:color w:val="000000"/>
          <w:sz w:val="32"/>
          <w:szCs w:val="32"/>
        </w:rPr>
      </w:pPr>
      <w:r w:rsidRPr="00A013EE">
        <w:rPr>
          <w:rStyle w:val="Strong"/>
          <w:rFonts w:eastAsiaTheme="majorEastAsia"/>
          <w:color w:val="000000"/>
          <w:sz w:val="32"/>
          <w:szCs w:val="32"/>
        </w:rPr>
        <w:t xml:space="preserve">Février </w:t>
      </w:r>
      <w:r w:rsidR="00907027" w:rsidRPr="00A013EE">
        <w:rPr>
          <w:rStyle w:val="Strong"/>
          <w:rFonts w:eastAsiaTheme="majorEastAsia"/>
          <w:color w:val="000000"/>
          <w:sz w:val="32"/>
          <w:szCs w:val="32"/>
        </w:rPr>
        <w:t>202</w:t>
      </w:r>
      <w:r w:rsidR="005C7142" w:rsidRPr="00A013EE">
        <w:rPr>
          <w:rStyle w:val="Strong"/>
          <w:rFonts w:eastAsiaTheme="majorEastAsia"/>
          <w:color w:val="000000"/>
          <w:sz w:val="32"/>
          <w:szCs w:val="32"/>
        </w:rPr>
        <w:t>6</w:t>
      </w:r>
    </w:p>
    <w:p w14:paraId="5E373C43" w14:textId="77777777" w:rsidR="00907027" w:rsidRPr="0003607D" w:rsidRDefault="00907027" w:rsidP="00264799">
      <w:pPr>
        <w:spacing w:after="160" w:line="276" w:lineRule="auto"/>
        <w:rPr>
          <w:rStyle w:val="Strong"/>
          <w:rFonts w:eastAsiaTheme="majorEastAsia"/>
          <w:color w:val="000000"/>
        </w:rPr>
      </w:pPr>
      <w:r w:rsidRPr="0003607D">
        <w:rPr>
          <w:rStyle w:val="Strong"/>
          <w:rFonts w:eastAsiaTheme="majorEastAsia"/>
          <w:color w:val="000000"/>
        </w:rPr>
        <w:br w:type="page"/>
      </w:r>
    </w:p>
    <w:p w14:paraId="2A062F58" w14:textId="05BE1297" w:rsidR="003F2AC0" w:rsidRPr="0003607D" w:rsidRDefault="003F2AC0" w:rsidP="00264799">
      <w:pPr>
        <w:pStyle w:val="NormalWeb"/>
        <w:spacing w:line="276" w:lineRule="auto"/>
        <w:rPr>
          <w:rStyle w:val="apple-converted-space"/>
          <w:rFonts w:eastAsiaTheme="majorEastAsia"/>
          <w:color w:val="000000"/>
        </w:rPr>
      </w:pPr>
      <w:r w:rsidRPr="0003607D">
        <w:rPr>
          <w:rStyle w:val="Strong"/>
          <w:rFonts w:eastAsiaTheme="majorEastAsia"/>
          <w:color w:val="000000"/>
        </w:rPr>
        <w:lastRenderedPageBreak/>
        <w:t>Introduction</w:t>
      </w:r>
      <w:r w:rsidRPr="0003607D">
        <w:rPr>
          <w:rStyle w:val="apple-converted-space"/>
          <w:rFonts w:eastAsiaTheme="majorEastAsia"/>
          <w:color w:val="000000"/>
        </w:rPr>
        <w:t> </w:t>
      </w:r>
      <w:r w:rsidR="001223AF" w:rsidRPr="001223AF">
        <w:rPr>
          <w:rStyle w:val="apple-converted-space"/>
          <w:rFonts w:eastAsiaTheme="majorEastAsia"/>
          <w:b/>
          <w:bCs/>
          <w:color w:val="000000"/>
        </w:rPr>
        <w:t>et méthodologie</w:t>
      </w:r>
    </w:p>
    <w:p w14:paraId="0766200B" w14:textId="2E4FDE53" w:rsidR="00D27296" w:rsidRDefault="003F2AC0" w:rsidP="00D27296">
      <w:pPr>
        <w:pStyle w:val="NormalWeb"/>
        <w:spacing w:line="276" w:lineRule="auto"/>
        <w:jc w:val="both"/>
        <w:rPr>
          <w:color w:val="000000"/>
        </w:rPr>
      </w:pPr>
      <w:r w:rsidRPr="0003607D">
        <w:rPr>
          <w:color w:val="000000"/>
        </w:rPr>
        <w:t xml:space="preserve">Ce rapport </w:t>
      </w:r>
      <w:r w:rsidR="005C7142">
        <w:rPr>
          <w:color w:val="000000"/>
        </w:rPr>
        <w:t>alternatif</w:t>
      </w:r>
      <w:r w:rsidRPr="0003607D">
        <w:rPr>
          <w:color w:val="000000"/>
        </w:rPr>
        <w:t xml:space="preserve"> </w:t>
      </w:r>
      <w:r w:rsidR="00252101" w:rsidRPr="0003607D">
        <w:rPr>
          <w:color w:val="000000"/>
        </w:rPr>
        <w:t xml:space="preserve">a été rédigé par la Ligue Tchadienne des Droits de l’Homme avec le soutien de l’Organisation Mondiale contre la Torture. Il </w:t>
      </w:r>
      <w:r w:rsidRPr="0003607D">
        <w:rPr>
          <w:color w:val="000000"/>
        </w:rPr>
        <w:t xml:space="preserve">vise à </w:t>
      </w:r>
      <w:r w:rsidR="00A25637">
        <w:rPr>
          <w:color w:val="000000"/>
        </w:rPr>
        <w:t xml:space="preserve">soumettre des informations concernant </w:t>
      </w:r>
      <w:r w:rsidR="00252101" w:rsidRPr="0003607D">
        <w:rPr>
          <w:color w:val="000000"/>
        </w:rPr>
        <w:t xml:space="preserve">la mise en œuvre </w:t>
      </w:r>
      <w:r w:rsidR="00A25637">
        <w:rPr>
          <w:color w:val="000000"/>
        </w:rPr>
        <w:t>du Pacte International sur les Droits Civils et Politiques (PIDCP) par le Tchad</w:t>
      </w:r>
      <w:r w:rsidR="00AE0497">
        <w:rPr>
          <w:color w:val="000000"/>
        </w:rPr>
        <w:t xml:space="preserve"> en vue de l’examen par le Comité des droits de l’Homme </w:t>
      </w:r>
      <w:r w:rsidR="00467DA9">
        <w:rPr>
          <w:color w:val="000000"/>
        </w:rPr>
        <w:t xml:space="preserve">(« CDH ») </w:t>
      </w:r>
      <w:r w:rsidR="00AE0497">
        <w:rPr>
          <w:color w:val="000000"/>
        </w:rPr>
        <w:t>du troisième rapport périodique du Tchad, lors de sa 145</w:t>
      </w:r>
      <w:r w:rsidR="00AE0497" w:rsidRPr="00AE0497">
        <w:rPr>
          <w:color w:val="000000"/>
          <w:vertAlign w:val="superscript"/>
        </w:rPr>
        <w:t>e</w:t>
      </w:r>
      <w:r w:rsidR="00AE0497">
        <w:rPr>
          <w:color w:val="000000"/>
        </w:rPr>
        <w:t xml:space="preserve"> session</w:t>
      </w:r>
      <w:r w:rsidR="00D508B6">
        <w:rPr>
          <w:color w:val="000000"/>
        </w:rPr>
        <w:t xml:space="preserve"> qui se déroulera du 2 au 19 mars 2026</w:t>
      </w:r>
      <w:r w:rsidRPr="0003607D">
        <w:rPr>
          <w:color w:val="000000"/>
        </w:rPr>
        <w:t xml:space="preserve">. </w:t>
      </w:r>
      <w:r w:rsidR="00644F1A">
        <w:t xml:space="preserve">Cette soumission </w:t>
      </w:r>
      <w:r w:rsidR="00644F1A">
        <w:rPr>
          <w:color w:val="000000"/>
        </w:rPr>
        <w:t>s’appuie sur les expériences et documentations effectuées par la Ligue Tchadienne des Droits de l’Homme avec l’appui de l’Organisation Mondiale contre la Torture, ainsi qu’une mission d’une délégation de l’OMCT effectuée à N’Djamena au Tchad au mois de septembre 2024.</w:t>
      </w:r>
      <w:r w:rsidR="00644F1A">
        <w:rPr>
          <w:color w:val="000000"/>
          <w:vertAlign w:val="superscript"/>
        </w:rPr>
        <w:footnoteReference w:id="1"/>
      </w:r>
    </w:p>
    <w:p w14:paraId="4E9547AB" w14:textId="77777777" w:rsidR="000A3D49" w:rsidRDefault="00467DA9" w:rsidP="00D27296">
      <w:pPr>
        <w:pStyle w:val="NormalWeb"/>
        <w:spacing w:line="276" w:lineRule="auto"/>
        <w:jc w:val="both"/>
        <w:rPr>
          <w:color w:val="000000"/>
        </w:rPr>
      </w:pPr>
      <w:r>
        <w:rPr>
          <w:color w:val="000000"/>
        </w:rPr>
        <w:t>Depuis le dernier examen du Tchad par le CDH en 2017,</w:t>
      </w:r>
      <w:r w:rsidR="005A27A4">
        <w:rPr>
          <w:color w:val="000000"/>
        </w:rPr>
        <w:t xml:space="preserve"> le pays a connu un changement politique marqué par </w:t>
      </w:r>
      <w:r w:rsidR="00854706">
        <w:rPr>
          <w:color w:val="000000"/>
        </w:rPr>
        <w:t xml:space="preserve">l’instauration d’une transition militaire à la suite de la mort du président Idriss </w:t>
      </w:r>
      <w:proofErr w:type="spellStart"/>
      <w:r w:rsidR="00854706">
        <w:rPr>
          <w:color w:val="000000"/>
        </w:rPr>
        <w:t>Déby</w:t>
      </w:r>
      <w:proofErr w:type="spellEnd"/>
      <w:r w:rsidR="00854706">
        <w:rPr>
          <w:color w:val="000000"/>
        </w:rPr>
        <w:t xml:space="preserve"> en 2021 et un processus politique contesté, sur fond de violences récurrentes. </w:t>
      </w:r>
      <w:r w:rsidR="005A27A4" w:rsidRPr="005A27A4">
        <w:rPr>
          <w:color w:val="000000"/>
        </w:rPr>
        <w:t xml:space="preserve">Depuis fin 2022, une aggravation des tensions politiques et sociales, </w:t>
      </w:r>
      <w:proofErr w:type="spellStart"/>
      <w:r w:rsidR="005A27A4" w:rsidRPr="005A27A4">
        <w:rPr>
          <w:color w:val="000000"/>
        </w:rPr>
        <w:t>marquée</w:t>
      </w:r>
      <w:proofErr w:type="spellEnd"/>
      <w:r w:rsidR="005A27A4" w:rsidRPr="005A27A4">
        <w:rPr>
          <w:color w:val="000000"/>
        </w:rPr>
        <w:t xml:space="preserve"> par la </w:t>
      </w:r>
      <w:proofErr w:type="spellStart"/>
      <w:r w:rsidR="005A27A4" w:rsidRPr="005A27A4">
        <w:rPr>
          <w:color w:val="000000"/>
        </w:rPr>
        <w:t>répression</w:t>
      </w:r>
      <w:proofErr w:type="spellEnd"/>
      <w:r w:rsidR="005A27A4" w:rsidRPr="005A27A4">
        <w:rPr>
          <w:color w:val="000000"/>
        </w:rPr>
        <w:t xml:space="preserve"> persistante des mouvements d’opposition, le maintien d’un </w:t>
      </w:r>
      <w:proofErr w:type="spellStart"/>
      <w:r w:rsidR="005A27A4" w:rsidRPr="005A27A4">
        <w:rPr>
          <w:color w:val="000000"/>
        </w:rPr>
        <w:t>régime</w:t>
      </w:r>
      <w:proofErr w:type="spellEnd"/>
      <w:r w:rsidR="005A27A4" w:rsidRPr="005A27A4">
        <w:rPr>
          <w:color w:val="000000"/>
        </w:rPr>
        <w:t xml:space="preserve"> de transition prolongé sans garanties </w:t>
      </w:r>
      <w:proofErr w:type="spellStart"/>
      <w:r w:rsidR="005A27A4" w:rsidRPr="005A27A4">
        <w:rPr>
          <w:color w:val="000000"/>
        </w:rPr>
        <w:t>démocratiques</w:t>
      </w:r>
      <w:proofErr w:type="spellEnd"/>
      <w:r w:rsidR="005A27A4" w:rsidRPr="005A27A4">
        <w:rPr>
          <w:color w:val="000000"/>
        </w:rPr>
        <w:t xml:space="preserve"> claires, et l’</w:t>
      </w:r>
      <w:proofErr w:type="spellStart"/>
      <w:r w:rsidR="005A27A4" w:rsidRPr="005A27A4">
        <w:rPr>
          <w:color w:val="000000"/>
        </w:rPr>
        <w:t>impunite</w:t>
      </w:r>
      <w:proofErr w:type="spellEnd"/>
      <w:r w:rsidR="005A27A4" w:rsidRPr="005A27A4">
        <w:rPr>
          <w:color w:val="000000"/>
        </w:rPr>
        <w:t xml:space="preserve">́ quasi totale des forces de </w:t>
      </w:r>
      <w:proofErr w:type="spellStart"/>
      <w:r w:rsidR="005A27A4" w:rsidRPr="005A27A4">
        <w:rPr>
          <w:color w:val="000000"/>
        </w:rPr>
        <w:t>sécurite</w:t>
      </w:r>
      <w:proofErr w:type="spellEnd"/>
      <w:r w:rsidR="005A27A4" w:rsidRPr="005A27A4">
        <w:rPr>
          <w:color w:val="000000"/>
        </w:rPr>
        <w:t>́. L’</w:t>
      </w:r>
      <w:proofErr w:type="spellStart"/>
      <w:r w:rsidR="005A27A4" w:rsidRPr="005A27A4">
        <w:rPr>
          <w:color w:val="000000"/>
        </w:rPr>
        <w:t>élection</w:t>
      </w:r>
      <w:proofErr w:type="spellEnd"/>
      <w:r w:rsidR="005A27A4" w:rsidRPr="005A27A4">
        <w:rPr>
          <w:color w:val="000000"/>
        </w:rPr>
        <w:t xml:space="preserve"> </w:t>
      </w:r>
      <w:proofErr w:type="spellStart"/>
      <w:r w:rsidR="005A27A4" w:rsidRPr="005A27A4">
        <w:rPr>
          <w:color w:val="000000"/>
        </w:rPr>
        <w:t>présidentielle</w:t>
      </w:r>
      <w:proofErr w:type="spellEnd"/>
      <w:r w:rsidR="005A27A4" w:rsidRPr="005A27A4">
        <w:rPr>
          <w:color w:val="000000"/>
        </w:rPr>
        <w:t xml:space="preserve"> de mai 2024, </w:t>
      </w:r>
      <w:proofErr w:type="spellStart"/>
      <w:r w:rsidR="005A27A4" w:rsidRPr="005A27A4">
        <w:rPr>
          <w:color w:val="000000"/>
        </w:rPr>
        <w:t>organisée</w:t>
      </w:r>
      <w:proofErr w:type="spellEnd"/>
      <w:r w:rsidR="005A27A4" w:rsidRPr="005A27A4">
        <w:rPr>
          <w:color w:val="000000"/>
        </w:rPr>
        <w:t xml:space="preserve"> dans un climat de restriction de l’espace civique et de violences à l’</w:t>
      </w:r>
      <w:proofErr w:type="spellStart"/>
      <w:r w:rsidR="005A27A4" w:rsidRPr="005A27A4">
        <w:rPr>
          <w:color w:val="000000"/>
        </w:rPr>
        <w:t>égard</w:t>
      </w:r>
      <w:proofErr w:type="spellEnd"/>
      <w:r w:rsidR="005A27A4" w:rsidRPr="005A27A4">
        <w:rPr>
          <w:color w:val="000000"/>
        </w:rPr>
        <w:t xml:space="preserve"> des opposants politiques, n’a pas permis de restaurer la confiance ni d’assurer une </w:t>
      </w:r>
      <w:proofErr w:type="spellStart"/>
      <w:r w:rsidR="005A27A4" w:rsidRPr="005A27A4">
        <w:rPr>
          <w:color w:val="000000"/>
        </w:rPr>
        <w:t>véritable</w:t>
      </w:r>
      <w:proofErr w:type="spellEnd"/>
      <w:r w:rsidR="005A27A4" w:rsidRPr="005A27A4">
        <w:rPr>
          <w:color w:val="000000"/>
        </w:rPr>
        <w:t xml:space="preserve"> alternance </w:t>
      </w:r>
      <w:proofErr w:type="spellStart"/>
      <w:r w:rsidR="005A27A4" w:rsidRPr="005A27A4">
        <w:rPr>
          <w:color w:val="000000"/>
        </w:rPr>
        <w:t>démocratique</w:t>
      </w:r>
      <w:proofErr w:type="spellEnd"/>
      <w:r w:rsidR="005A27A4" w:rsidRPr="005A27A4">
        <w:rPr>
          <w:color w:val="000000"/>
        </w:rPr>
        <w:t xml:space="preserve">. </w:t>
      </w:r>
    </w:p>
    <w:p w14:paraId="530C010D" w14:textId="7745C956" w:rsidR="005A27A4" w:rsidRDefault="005A27A4" w:rsidP="00D27296">
      <w:pPr>
        <w:pStyle w:val="NormalWeb"/>
        <w:spacing w:line="276" w:lineRule="auto"/>
        <w:jc w:val="both"/>
        <w:rPr>
          <w:color w:val="000000"/>
        </w:rPr>
      </w:pPr>
      <w:r w:rsidRPr="005A27A4">
        <w:rPr>
          <w:color w:val="000000"/>
        </w:rPr>
        <w:t xml:space="preserve">La promulgation en novembre 2023 d'une loi d’amnistie couvrant les </w:t>
      </w:r>
      <w:proofErr w:type="spellStart"/>
      <w:r w:rsidRPr="005A27A4">
        <w:rPr>
          <w:color w:val="000000"/>
        </w:rPr>
        <w:t>événements</w:t>
      </w:r>
      <w:proofErr w:type="spellEnd"/>
      <w:r w:rsidRPr="005A27A4">
        <w:rPr>
          <w:color w:val="000000"/>
        </w:rPr>
        <w:t xml:space="preserve"> sanglants du 20 octobre 2022, en contradiction avec les engagements internationaux du Tchad, illustre cette </w:t>
      </w:r>
      <w:proofErr w:type="spellStart"/>
      <w:r w:rsidRPr="005A27A4">
        <w:rPr>
          <w:color w:val="000000"/>
        </w:rPr>
        <w:t>volonte</w:t>
      </w:r>
      <w:proofErr w:type="spellEnd"/>
      <w:r w:rsidRPr="005A27A4">
        <w:rPr>
          <w:color w:val="000000"/>
        </w:rPr>
        <w:t xml:space="preserve">́ d’effacer les </w:t>
      </w:r>
      <w:proofErr w:type="spellStart"/>
      <w:r w:rsidRPr="005A27A4">
        <w:rPr>
          <w:color w:val="000000"/>
        </w:rPr>
        <w:t>responsabilités</w:t>
      </w:r>
      <w:proofErr w:type="spellEnd"/>
      <w:r w:rsidRPr="005A27A4">
        <w:rPr>
          <w:color w:val="000000"/>
        </w:rPr>
        <w:t xml:space="preserve"> au nom d’une </w:t>
      </w:r>
      <w:proofErr w:type="spellStart"/>
      <w:r w:rsidRPr="005A27A4">
        <w:rPr>
          <w:color w:val="000000"/>
        </w:rPr>
        <w:t>réconciliation</w:t>
      </w:r>
      <w:proofErr w:type="spellEnd"/>
      <w:r w:rsidRPr="005A27A4">
        <w:rPr>
          <w:color w:val="000000"/>
        </w:rPr>
        <w:t xml:space="preserve"> nationale fragile. Alors que des </w:t>
      </w:r>
      <w:proofErr w:type="spellStart"/>
      <w:r w:rsidRPr="005A27A4">
        <w:rPr>
          <w:color w:val="000000"/>
        </w:rPr>
        <w:t>réformes</w:t>
      </w:r>
      <w:proofErr w:type="spellEnd"/>
      <w:r w:rsidRPr="005A27A4">
        <w:rPr>
          <w:color w:val="000000"/>
        </w:rPr>
        <w:t xml:space="preserve"> du Code </w:t>
      </w:r>
      <w:proofErr w:type="spellStart"/>
      <w:r w:rsidRPr="005A27A4">
        <w:rPr>
          <w:color w:val="000000"/>
        </w:rPr>
        <w:t>pénal</w:t>
      </w:r>
      <w:proofErr w:type="spellEnd"/>
      <w:r w:rsidRPr="005A27A4">
        <w:rPr>
          <w:color w:val="000000"/>
        </w:rPr>
        <w:t xml:space="preserve"> et du code de </w:t>
      </w:r>
      <w:proofErr w:type="spellStart"/>
      <w:r w:rsidRPr="005A27A4">
        <w:rPr>
          <w:color w:val="000000"/>
        </w:rPr>
        <w:t>procédure</w:t>
      </w:r>
      <w:proofErr w:type="spellEnd"/>
      <w:r w:rsidRPr="005A27A4">
        <w:rPr>
          <w:color w:val="000000"/>
        </w:rPr>
        <w:t xml:space="preserve"> </w:t>
      </w:r>
      <w:proofErr w:type="spellStart"/>
      <w:r w:rsidRPr="005A27A4">
        <w:rPr>
          <w:color w:val="000000"/>
        </w:rPr>
        <w:t>pénal</w:t>
      </w:r>
      <w:r w:rsidR="0053706A">
        <w:rPr>
          <w:color w:val="000000"/>
        </w:rPr>
        <w:t>e</w:t>
      </w:r>
      <w:proofErr w:type="spellEnd"/>
      <w:r w:rsidRPr="005A27A4">
        <w:rPr>
          <w:color w:val="000000"/>
        </w:rPr>
        <w:t xml:space="preserve"> ont </w:t>
      </w:r>
      <w:proofErr w:type="spellStart"/>
      <w:r w:rsidRPr="005A27A4">
        <w:rPr>
          <w:color w:val="000000"/>
        </w:rPr>
        <w:t>éte</w:t>
      </w:r>
      <w:proofErr w:type="spellEnd"/>
      <w:r w:rsidRPr="005A27A4">
        <w:rPr>
          <w:color w:val="000000"/>
        </w:rPr>
        <w:t xml:space="preserve">́ </w:t>
      </w:r>
      <w:proofErr w:type="spellStart"/>
      <w:r w:rsidRPr="005A27A4">
        <w:rPr>
          <w:color w:val="000000"/>
        </w:rPr>
        <w:t>annoncées</w:t>
      </w:r>
      <w:proofErr w:type="spellEnd"/>
      <w:r w:rsidRPr="005A27A4">
        <w:rPr>
          <w:color w:val="000000"/>
        </w:rPr>
        <w:t xml:space="preserve"> en 2023, avec pour l’intention d’introduire une </w:t>
      </w:r>
      <w:proofErr w:type="spellStart"/>
      <w:r w:rsidRPr="005A27A4">
        <w:rPr>
          <w:color w:val="000000"/>
        </w:rPr>
        <w:t>définition</w:t>
      </w:r>
      <w:proofErr w:type="spellEnd"/>
      <w:r w:rsidRPr="005A27A4">
        <w:rPr>
          <w:color w:val="000000"/>
        </w:rPr>
        <w:t xml:space="preserve"> claire de la torture, des sanctions </w:t>
      </w:r>
      <w:proofErr w:type="spellStart"/>
      <w:r w:rsidRPr="005A27A4">
        <w:rPr>
          <w:color w:val="000000"/>
        </w:rPr>
        <w:t>pénales</w:t>
      </w:r>
      <w:proofErr w:type="spellEnd"/>
      <w:r w:rsidRPr="005A27A4">
        <w:rPr>
          <w:color w:val="000000"/>
        </w:rPr>
        <w:t xml:space="preserve"> dissuasives et des dispositions sur la </w:t>
      </w:r>
      <w:proofErr w:type="spellStart"/>
      <w:r w:rsidRPr="005A27A4">
        <w:rPr>
          <w:color w:val="000000"/>
        </w:rPr>
        <w:t>prévention</w:t>
      </w:r>
      <w:proofErr w:type="spellEnd"/>
      <w:r w:rsidRPr="005A27A4">
        <w:rPr>
          <w:color w:val="000000"/>
        </w:rPr>
        <w:t xml:space="preserve">, y compris les garanties pendant la garde à vue, aucune de ces lois n’a </w:t>
      </w:r>
      <w:proofErr w:type="spellStart"/>
      <w:r w:rsidRPr="005A27A4">
        <w:rPr>
          <w:color w:val="000000"/>
        </w:rPr>
        <w:t>éte</w:t>
      </w:r>
      <w:proofErr w:type="spellEnd"/>
      <w:r w:rsidRPr="005A27A4">
        <w:rPr>
          <w:color w:val="000000"/>
        </w:rPr>
        <w:t xml:space="preserve">́ officiellement </w:t>
      </w:r>
      <w:r w:rsidR="00A85AAF">
        <w:rPr>
          <w:color w:val="000000"/>
        </w:rPr>
        <w:t xml:space="preserve">adoptée ou publiée </w:t>
      </w:r>
      <w:r w:rsidRPr="005A27A4">
        <w:rPr>
          <w:color w:val="000000"/>
        </w:rPr>
        <w:t xml:space="preserve">à la </w:t>
      </w:r>
      <w:r w:rsidR="00A85AAF">
        <w:rPr>
          <w:color w:val="000000"/>
        </w:rPr>
        <w:t xml:space="preserve">date de </w:t>
      </w:r>
      <w:r w:rsidR="0053706A">
        <w:rPr>
          <w:color w:val="000000"/>
        </w:rPr>
        <w:t>publication de ce rapport</w:t>
      </w:r>
      <w:r w:rsidRPr="005A27A4">
        <w:rPr>
          <w:color w:val="000000"/>
        </w:rPr>
        <w:t xml:space="preserve">. </w:t>
      </w:r>
    </w:p>
    <w:p w14:paraId="204BDBFF" w14:textId="61286B27" w:rsidR="000A3D49" w:rsidRPr="00644F1A" w:rsidRDefault="007C2570" w:rsidP="007C2570">
      <w:pPr>
        <w:pStyle w:val="NormalWeb"/>
        <w:spacing w:line="276" w:lineRule="auto"/>
        <w:jc w:val="center"/>
        <w:rPr>
          <w:color w:val="000000"/>
        </w:rPr>
      </w:pPr>
      <w:r>
        <w:rPr>
          <w:color w:val="000000"/>
        </w:rPr>
        <w:t>***</w:t>
      </w:r>
    </w:p>
    <w:p w14:paraId="10927A14" w14:textId="7AC16320" w:rsidR="004B4BC4" w:rsidRPr="00E84CC5" w:rsidRDefault="00E84CC5" w:rsidP="00264799">
      <w:pPr>
        <w:pStyle w:val="NormalWeb"/>
        <w:numPr>
          <w:ilvl w:val="0"/>
          <w:numId w:val="15"/>
        </w:numPr>
        <w:spacing w:before="0" w:beforeAutospacing="0" w:after="0" w:afterAutospacing="0" w:line="276" w:lineRule="auto"/>
        <w:rPr>
          <w:rStyle w:val="Strong"/>
          <w:rFonts w:eastAsiaTheme="majorEastAsia"/>
          <w:b w:val="0"/>
          <w:bCs w:val="0"/>
          <w:color w:val="000000"/>
          <w:u w:val="single"/>
        </w:rPr>
      </w:pPr>
      <w:r>
        <w:rPr>
          <w:rStyle w:val="Strong"/>
          <w:rFonts w:eastAsiaTheme="majorEastAsia"/>
          <w:color w:val="000000"/>
          <w:u w:val="single"/>
        </w:rPr>
        <w:t>Cadre juridique de la mise en œuvre du Pacte (</w:t>
      </w:r>
      <w:r w:rsidR="004B4BC4">
        <w:rPr>
          <w:rStyle w:val="Strong"/>
          <w:rFonts w:eastAsiaTheme="majorEastAsia"/>
          <w:color w:val="000000"/>
          <w:u w:val="single"/>
        </w:rPr>
        <w:t>Article 2</w:t>
      </w:r>
      <w:r>
        <w:rPr>
          <w:rStyle w:val="Strong"/>
          <w:rFonts w:eastAsiaTheme="majorEastAsia"/>
          <w:color w:val="000000"/>
          <w:u w:val="single"/>
        </w:rPr>
        <w:t>)</w:t>
      </w:r>
      <w:r w:rsidR="004B4BC4">
        <w:rPr>
          <w:rStyle w:val="Strong"/>
          <w:rFonts w:eastAsiaTheme="majorEastAsia"/>
          <w:color w:val="000000"/>
          <w:u w:val="single"/>
        </w:rPr>
        <w:t xml:space="preserve"> </w:t>
      </w:r>
    </w:p>
    <w:p w14:paraId="181DC2ED" w14:textId="77777777" w:rsidR="00E84CC5" w:rsidRDefault="00E84CC5" w:rsidP="00E84CC5">
      <w:pPr>
        <w:pStyle w:val="NormalWeb"/>
        <w:spacing w:before="0" w:beforeAutospacing="0" w:after="0" w:afterAutospacing="0" w:line="276" w:lineRule="auto"/>
        <w:rPr>
          <w:rStyle w:val="Strong"/>
          <w:rFonts w:eastAsiaTheme="majorEastAsia"/>
          <w:color w:val="000000"/>
          <w:u w:val="single"/>
        </w:rPr>
      </w:pPr>
    </w:p>
    <w:p w14:paraId="4A2E7D27" w14:textId="4CFD81E0" w:rsidR="00E84CC5" w:rsidRPr="00A013EE" w:rsidRDefault="00E84CC5" w:rsidP="00E84CC5">
      <w:pPr>
        <w:pStyle w:val="NormalWeb"/>
        <w:numPr>
          <w:ilvl w:val="0"/>
          <w:numId w:val="24"/>
        </w:numPr>
        <w:spacing w:before="0" w:beforeAutospacing="0" w:after="0" w:afterAutospacing="0" w:line="276" w:lineRule="auto"/>
        <w:rPr>
          <w:rStyle w:val="Strong"/>
          <w:rFonts w:eastAsiaTheme="majorEastAsia"/>
          <w:b w:val="0"/>
          <w:bCs w:val="0"/>
          <w:color w:val="000000"/>
        </w:rPr>
      </w:pPr>
      <w:r w:rsidRPr="00A013EE">
        <w:rPr>
          <w:rStyle w:val="Strong"/>
          <w:rFonts w:eastAsiaTheme="majorEastAsia"/>
          <w:b w:val="0"/>
          <w:bCs w:val="0"/>
          <w:color w:val="000000"/>
        </w:rPr>
        <w:t>Indépendance de la CNDH – conformité aux principes de Paris</w:t>
      </w:r>
    </w:p>
    <w:p w14:paraId="176F0C67" w14:textId="680763D3" w:rsidR="00664A71" w:rsidRPr="00A013EE" w:rsidRDefault="00664A71" w:rsidP="00664A71">
      <w:pPr>
        <w:pStyle w:val="NormalWeb"/>
        <w:spacing w:line="276" w:lineRule="auto"/>
        <w:jc w:val="both"/>
        <w:rPr>
          <w:rStyle w:val="Strong"/>
          <w:rFonts w:eastAsiaTheme="majorEastAsia"/>
          <w:b w:val="0"/>
          <w:bCs w:val="0"/>
          <w:color w:val="000000" w:themeColor="text1"/>
        </w:rPr>
      </w:pPr>
      <w:r w:rsidRPr="00A013EE">
        <w:rPr>
          <w:rStyle w:val="Strong"/>
          <w:rFonts w:eastAsiaTheme="majorEastAsia"/>
          <w:b w:val="0"/>
          <w:bCs w:val="0"/>
          <w:color w:val="000000" w:themeColor="text1"/>
        </w:rPr>
        <w:t>La Commission Nationale des Droits de l’Homme (CNDH) du Tchad est instituée par la loi</w:t>
      </w:r>
      <w:r w:rsidR="00556359" w:rsidRPr="00A013EE">
        <w:rPr>
          <w:color w:val="000000" w:themeColor="text1"/>
        </w:rPr>
        <w:t xml:space="preserve"> </w:t>
      </w:r>
      <w:r w:rsidR="00556359" w:rsidRPr="00A013EE">
        <w:rPr>
          <w:rStyle w:val="Strong"/>
          <w:rFonts w:eastAsiaTheme="majorEastAsia"/>
          <w:b w:val="0"/>
          <w:bCs w:val="0"/>
          <w:color w:val="000000" w:themeColor="text1"/>
        </w:rPr>
        <w:t>n° 028/PR/2018 du 22 novembre 2018</w:t>
      </w:r>
      <w:r w:rsidRPr="00A013EE">
        <w:rPr>
          <w:rStyle w:val="Strong"/>
          <w:rFonts w:eastAsiaTheme="majorEastAsia"/>
          <w:b w:val="0"/>
          <w:bCs w:val="0"/>
          <w:color w:val="000000" w:themeColor="text1"/>
        </w:rPr>
        <w:t xml:space="preserve"> comme organe chargé de la promotion et de la protection des droits humains. Sa création répond formellement aux critères définis par les Principes de Paris, qui établissent que les institutions nationales des droits de l’homme doivent être indépendantes, pluralistes et disposer de moyens suffisants pour accomplir leurs missions.</w:t>
      </w:r>
    </w:p>
    <w:p w14:paraId="795FF343" w14:textId="77777777" w:rsidR="00664A71" w:rsidRPr="00A013EE" w:rsidRDefault="00664A71" w:rsidP="00664A71">
      <w:pPr>
        <w:pStyle w:val="NormalWeb"/>
        <w:spacing w:line="276" w:lineRule="auto"/>
        <w:jc w:val="both"/>
        <w:rPr>
          <w:rStyle w:val="Strong"/>
          <w:rFonts w:eastAsiaTheme="majorEastAsia"/>
          <w:b w:val="0"/>
          <w:bCs w:val="0"/>
          <w:color w:val="000000" w:themeColor="text1"/>
        </w:rPr>
      </w:pPr>
      <w:r w:rsidRPr="00A013EE">
        <w:rPr>
          <w:rStyle w:val="Strong"/>
          <w:rFonts w:eastAsiaTheme="majorEastAsia"/>
          <w:b w:val="0"/>
          <w:bCs w:val="0"/>
          <w:color w:val="000000" w:themeColor="text1"/>
        </w:rPr>
        <w:lastRenderedPageBreak/>
        <w:t>Cependant, des préoccupations persistent concernant l’indépendance effective de la CNDH au Tchad, notamment en ce qui concerne :</w:t>
      </w:r>
    </w:p>
    <w:p w14:paraId="1501895B" w14:textId="646169EB" w:rsidR="00664A71" w:rsidRPr="00A013EE" w:rsidRDefault="00664A71" w:rsidP="00664A71">
      <w:pPr>
        <w:pStyle w:val="NormalWeb"/>
        <w:numPr>
          <w:ilvl w:val="0"/>
          <w:numId w:val="26"/>
        </w:numPr>
        <w:spacing w:line="276" w:lineRule="auto"/>
        <w:jc w:val="both"/>
        <w:rPr>
          <w:rStyle w:val="Strong"/>
          <w:rFonts w:eastAsiaTheme="majorEastAsia"/>
          <w:b w:val="0"/>
          <w:bCs w:val="0"/>
          <w:color w:val="000000" w:themeColor="text1"/>
        </w:rPr>
      </w:pPr>
      <w:proofErr w:type="gramStart"/>
      <w:r w:rsidRPr="00A013EE">
        <w:rPr>
          <w:rStyle w:val="Strong"/>
          <w:rFonts w:eastAsiaTheme="majorEastAsia"/>
          <w:b w:val="0"/>
          <w:bCs w:val="0"/>
          <w:color w:val="000000" w:themeColor="text1"/>
        </w:rPr>
        <w:t>les</w:t>
      </w:r>
      <w:proofErr w:type="gramEnd"/>
      <w:r w:rsidRPr="00A013EE">
        <w:rPr>
          <w:rStyle w:val="Strong"/>
          <w:rFonts w:eastAsiaTheme="majorEastAsia"/>
          <w:b w:val="0"/>
          <w:bCs w:val="0"/>
          <w:color w:val="000000" w:themeColor="text1"/>
        </w:rPr>
        <w:t xml:space="preserve"> modalités de nomination de ses membres, largement influencées par l’exécutif ;</w:t>
      </w:r>
    </w:p>
    <w:p w14:paraId="3485404B" w14:textId="082952B0" w:rsidR="00664A71" w:rsidRPr="00A013EE" w:rsidRDefault="00664A71" w:rsidP="00664A71">
      <w:pPr>
        <w:pStyle w:val="NormalWeb"/>
        <w:numPr>
          <w:ilvl w:val="0"/>
          <w:numId w:val="26"/>
        </w:numPr>
        <w:spacing w:line="276" w:lineRule="auto"/>
        <w:jc w:val="both"/>
        <w:rPr>
          <w:rStyle w:val="Strong"/>
          <w:rFonts w:eastAsiaTheme="majorEastAsia"/>
          <w:b w:val="0"/>
          <w:bCs w:val="0"/>
          <w:color w:val="000000" w:themeColor="text1"/>
        </w:rPr>
      </w:pPr>
      <w:proofErr w:type="gramStart"/>
      <w:r w:rsidRPr="00A013EE">
        <w:rPr>
          <w:rStyle w:val="Strong"/>
          <w:rFonts w:eastAsiaTheme="majorEastAsia"/>
          <w:b w:val="0"/>
          <w:bCs w:val="0"/>
          <w:color w:val="000000" w:themeColor="text1"/>
        </w:rPr>
        <w:t>l’autonomie</w:t>
      </w:r>
      <w:proofErr w:type="gramEnd"/>
      <w:r w:rsidRPr="00A013EE">
        <w:rPr>
          <w:rStyle w:val="Strong"/>
          <w:rFonts w:eastAsiaTheme="majorEastAsia"/>
          <w:b w:val="0"/>
          <w:bCs w:val="0"/>
          <w:color w:val="000000" w:themeColor="text1"/>
        </w:rPr>
        <w:t xml:space="preserve"> financière limitée, qui restreint sa capacité d’action ;</w:t>
      </w:r>
    </w:p>
    <w:p w14:paraId="0EDA6824" w14:textId="5AFD9CB5" w:rsidR="00E84CC5" w:rsidRPr="00A013EE" w:rsidRDefault="00664A71" w:rsidP="00664A71">
      <w:pPr>
        <w:pStyle w:val="NormalWeb"/>
        <w:numPr>
          <w:ilvl w:val="0"/>
          <w:numId w:val="26"/>
        </w:numPr>
        <w:spacing w:before="0" w:beforeAutospacing="0" w:after="0" w:afterAutospacing="0" w:line="276" w:lineRule="auto"/>
        <w:jc w:val="both"/>
        <w:rPr>
          <w:rStyle w:val="Strong"/>
          <w:rFonts w:eastAsiaTheme="majorEastAsia"/>
          <w:b w:val="0"/>
          <w:bCs w:val="0"/>
          <w:color w:val="000000" w:themeColor="text1"/>
        </w:rPr>
      </w:pPr>
      <w:proofErr w:type="gramStart"/>
      <w:r w:rsidRPr="00A013EE">
        <w:rPr>
          <w:rStyle w:val="Strong"/>
          <w:rFonts w:eastAsiaTheme="majorEastAsia"/>
          <w:b w:val="0"/>
          <w:bCs w:val="0"/>
          <w:color w:val="000000" w:themeColor="text1"/>
        </w:rPr>
        <w:t>et</w:t>
      </w:r>
      <w:proofErr w:type="gramEnd"/>
      <w:r w:rsidRPr="00A013EE">
        <w:rPr>
          <w:rStyle w:val="Strong"/>
          <w:rFonts w:eastAsiaTheme="majorEastAsia"/>
          <w:b w:val="0"/>
          <w:bCs w:val="0"/>
          <w:color w:val="000000" w:themeColor="text1"/>
        </w:rPr>
        <w:t xml:space="preserve"> sa liberté d’intervention, parfois entravée par des pressions politiques ou administratives.</w:t>
      </w:r>
    </w:p>
    <w:p w14:paraId="4E71B9AC" w14:textId="77777777" w:rsidR="00664A71" w:rsidRPr="00A013EE" w:rsidRDefault="00664A71" w:rsidP="00664A71">
      <w:pPr>
        <w:pStyle w:val="NormalWeb"/>
        <w:spacing w:before="0" w:beforeAutospacing="0" w:after="0" w:afterAutospacing="0" w:line="276" w:lineRule="auto"/>
        <w:ind w:left="720"/>
        <w:jc w:val="both"/>
        <w:rPr>
          <w:rStyle w:val="Strong"/>
          <w:rFonts w:eastAsiaTheme="majorEastAsia"/>
          <w:b w:val="0"/>
          <w:bCs w:val="0"/>
          <w:color w:val="000000" w:themeColor="text1"/>
        </w:rPr>
      </w:pPr>
    </w:p>
    <w:p w14:paraId="5C0529B9" w14:textId="1185F466" w:rsidR="00664A71" w:rsidRDefault="00664A71" w:rsidP="00664A71">
      <w:pPr>
        <w:pStyle w:val="NormalWeb"/>
        <w:spacing w:before="0" w:beforeAutospacing="0" w:after="0" w:afterAutospacing="0" w:line="276" w:lineRule="auto"/>
        <w:jc w:val="both"/>
        <w:rPr>
          <w:color w:val="000000" w:themeColor="text1"/>
        </w:rPr>
      </w:pPr>
      <w:r w:rsidRPr="00A013EE">
        <w:rPr>
          <w:color w:val="000000" w:themeColor="text1"/>
        </w:rPr>
        <w:t xml:space="preserve">Ces limitations soulèvent des interrogations quant à la </w:t>
      </w:r>
      <w:r w:rsidRPr="00A013EE">
        <w:rPr>
          <w:rStyle w:val="Strong"/>
          <w:rFonts w:eastAsiaTheme="majorEastAsia"/>
          <w:b w:val="0"/>
          <w:color w:val="000000" w:themeColor="text1"/>
        </w:rPr>
        <w:t>conformité réelle de la CNDH tchadienne aux Principes de Paris</w:t>
      </w:r>
      <w:r w:rsidRPr="00A013EE">
        <w:rPr>
          <w:color w:val="000000" w:themeColor="text1"/>
        </w:rPr>
        <w:t xml:space="preserve"> et à sa capacité à superviser efficacement la mise en œuvre du Pacte international relatif aux droits civils et politiques.</w:t>
      </w:r>
    </w:p>
    <w:p w14:paraId="054E1F08" w14:textId="77777777" w:rsidR="001363FC" w:rsidRDefault="001363FC" w:rsidP="00664A71">
      <w:pPr>
        <w:pStyle w:val="NormalWeb"/>
        <w:spacing w:before="0" w:beforeAutospacing="0" w:after="0" w:afterAutospacing="0" w:line="276" w:lineRule="auto"/>
        <w:jc w:val="both"/>
        <w:rPr>
          <w:color w:val="000000" w:themeColor="text1"/>
        </w:rPr>
      </w:pPr>
    </w:p>
    <w:tbl>
      <w:tblPr>
        <w:tblStyle w:val="TableGrid"/>
        <w:tblW w:w="0" w:type="auto"/>
        <w:tblLook w:val="04A0" w:firstRow="1" w:lastRow="0" w:firstColumn="1" w:lastColumn="0" w:noHBand="0" w:noVBand="1"/>
      </w:tblPr>
      <w:tblGrid>
        <w:gridCol w:w="9062"/>
      </w:tblGrid>
      <w:tr w:rsidR="001363FC" w14:paraId="17359A05" w14:textId="77777777" w:rsidTr="001363FC">
        <w:tc>
          <w:tcPr>
            <w:tcW w:w="9062" w:type="dxa"/>
          </w:tcPr>
          <w:p w14:paraId="659A75F0" w14:textId="77777777" w:rsidR="001363FC" w:rsidRDefault="001363FC" w:rsidP="001363FC">
            <w:pPr>
              <w:pStyle w:val="NormalWeb"/>
              <w:spacing w:before="0" w:beforeAutospacing="0" w:after="0" w:afterAutospacing="0" w:line="276" w:lineRule="auto"/>
              <w:jc w:val="both"/>
              <w:rPr>
                <w:color w:val="000000" w:themeColor="text1"/>
              </w:rPr>
            </w:pPr>
            <w:r>
              <w:rPr>
                <w:color w:val="000000" w:themeColor="text1"/>
              </w:rPr>
              <w:t>Recommandations :</w:t>
            </w:r>
          </w:p>
          <w:p w14:paraId="12AD64F9" w14:textId="6BBBF145" w:rsidR="0037098D" w:rsidRPr="00A013EE" w:rsidRDefault="00F52C65" w:rsidP="001363FC">
            <w:pPr>
              <w:pStyle w:val="NormalWeb"/>
              <w:numPr>
                <w:ilvl w:val="1"/>
                <w:numId w:val="1"/>
              </w:numPr>
              <w:spacing w:line="276" w:lineRule="auto"/>
              <w:jc w:val="both"/>
              <w:rPr>
                <w:rFonts w:eastAsiaTheme="majorEastAsia"/>
                <w:color w:val="000000" w:themeColor="text1"/>
              </w:rPr>
            </w:pPr>
            <w:r>
              <w:t>Réviser les modalités de nomination des membres de la CNDH afin d’assurer un processus transparent, inclusif et pluraliste, impliquant de manière significative le Parlement, la société civile et les organisations professionnelles </w:t>
            </w:r>
            <w:r w:rsidR="008952FD">
              <w:t>conformément aux exigences des Principes de Paris ;</w:t>
            </w:r>
          </w:p>
          <w:p w14:paraId="4F5BFE3F" w14:textId="42EAD2EE" w:rsidR="001363FC" w:rsidRPr="00A013EE" w:rsidRDefault="0037098D" w:rsidP="00A013EE">
            <w:pPr>
              <w:pStyle w:val="NormalWeb"/>
              <w:numPr>
                <w:ilvl w:val="1"/>
                <w:numId w:val="1"/>
              </w:numPr>
              <w:spacing w:line="276" w:lineRule="auto"/>
              <w:jc w:val="both"/>
              <w:rPr>
                <w:rFonts w:eastAsiaTheme="majorEastAsia"/>
                <w:color w:val="000000" w:themeColor="text1"/>
              </w:rPr>
            </w:pPr>
            <w:r>
              <w:t>Garantir une autonomie financière de la CNDH en lui allouant un budget suffisant, stable et inscrit de manière distincte dans la loi de finances, lui permettant d’exercer ses missions sans dépendance excessive vis-à-vis de l’exécutif, conformément aux exigences des Principes de Paris.</w:t>
            </w:r>
          </w:p>
        </w:tc>
      </w:tr>
    </w:tbl>
    <w:p w14:paraId="625E878F" w14:textId="77777777" w:rsidR="00664A71" w:rsidRPr="00E84CC5" w:rsidRDefault="00664A71" w:rsidP="00664A71">
      <w:pPr>
        <w:pStyle w:val="NormalWeb"/>
        <w:spacing w:before="0" w:beforeAutospacing="0" w:after="0" w:afterAutospacing="0" w:line="276" w:lineRule="auto"/>
        <w:rPr>
          <w:rStyle w:val="Strong"/>
          <w:rFonts w:eastAsiaTheme="majorEastAsia"/>
          <w:b w:val="0"/>
          <w:bCs w:val="0"/>
          <w:color w:val="000000"/>
        </w:rPr>
      </w:pPr>
    </w:p>
    <w:p w14:paraId="45BBC43B" w14:textId="6331633F" w:rsidR="00155D69" w:rsidRDefault="00155D69" w:rsidP="00A013EE">
      <w:pPr>
        <w:pStyle w:val="NormalWeb"/>
        <w:numPr>
          <w:ilvl w:val="0"/>
          <w:numId w:val="15"/>
        </w:numPr>
        <w:spacing w:before="0" w:beforeAutospacing="0" w:after="0" w:afterAutospacing="0" w:line="276" w:lineRule="auto"/>
        <w:rPr>
          <w:rStyle w:val="Strong"/>
          <w:rFonts w:eastAsiaTheme="majorEastAsia"/>
          <w:b w:val="0"/>
          <w:bCs w:val="0"/>
          <w:color w:val="000000"/>
        </w:rPr>
      </w:pPr>
      <w:r>
        <w:rPr>
          <w:rStyle w:val="Strong"/>
          <w:rFonts w:eastAsiaTheme="majorEastAsia"/>
          <w:color w:val="000000"/>
          <w:u w:val="single"/>
        </w:rPr>
        <w:t>Violences faites aux femmes (articles 3, 6, 7 et 26)</w:t>
      </w:r>
    </w:p>
    <w:p w14:paraId="5959A5B4" w14:textId="78B94CBD" w:rsidR="00D22DDF" w:rsidRDefault="00F931B1" w:rsidP="00462D6F">
      <w:pPr>
        <w:pStyle w:val="NormalWeb"/>
        <w:jc w:val="both"/>
        <w:rPr>
          <w:color w:val="000000" w:themeColor="text1"/>
        </w:rPr>
      </w:pPr>
      <w:r w:rsidRPr="00A013EE">
        <w:rPr>
          <w:color w:val="000000" w:themeColor="text1"/>
        </w:rPr>
        <w:t xml:space="preserve">Les résultats d’une mission de monitoring conduite par la </w:t>
      </w:r>
      <w:r w:rsidRPr="00A013EE">
        <w:rPr>
          <w:rStyle w:val="Strong"/>
          <w:rFonts w:eastAsiaTheme="majorEastAsia"/>
          <w:b w:val="0"/>
          <w:color w:val="000000" w:themeColor="text1"/>
        </w:rPr>
        <w:t>Ligue Tchadienne des Droits de l’Homme (LTDH)</w:t>
      </w:r>
      <w:r w:rsidRPr="00A013EE">
        <w:rPr>
          <w:color w:val="000000" w:themeColor="text1"/>
        </w:rPr>
        <w:t xml:space="preserve"> du </w:t>
      </w:r>
      <w:r w:rsidRPr="00A013EE">
        <w:rPr>
          <w:rStyle w:val="Strong"/>
          <w:rFonts w:eastAsiaTheme="majorEastAsia"/>
          <w:b w:val="0"/>
          <w:color w:val="000000" w:themeColor="text1"/>
        </w:rPr>
        <w:t>12 au 20 février 2024</w:t>
      </w:r>
      <w:r w:rsidRPr="00A013EE">
        <w:rPr>
          <w:color w:val="000000" w:themeColor="text1"/>
        </w:rPr>
        <w:t xml:space="preserve"> dans le ressort de la </w:t>
      </w:r>
      <w:r w:rsidRPr="00A013EE">
        <w:rPr>
          <w:rStyle w:val="Strong"/>
          <w:rFonts w:eastAsiaTheme="majorEastAsia"/>
          <w:b w:val="0"/>
          <w:color w:val="000000" w:themeColor="text1"/>
        </w:rPr>
        <w:t>Cour d’Appel de Mongo</w:t>
      </w:r>
      <w:r w:rsidRPr="00A013EE">
        <w:rPr>
          <w:color w:val="000000" w:themeColor="text1"/>
        </w:rPr>
        <w:t>, couvrant les localités d’</w:t>
      </w:r>
      <w:proofErr w:type="spellStart"/>
      <w:r w:rsidRPr="00A013EE">
        <w:rPr>
          <w:rStyle w:val="Strong"/>
          <w:rFonts w:eastAsiaTheme="majorEastAsia"/>
          <w:b w:val="0"/>
          <w:color w:val="000000" w:themeColor="text1"/>
        </w:rPr>
        <w:t>Amtiman</w:t>
      </w:r>
      <w:proofErr w:type="spellEnd"/>
      <w:r w:rsidRPr="00A013EE">
        <w:rPr>
          <w:rStyle w:val="Strong"/>
          <w:rFonts w:eastAsiaTheme="majorEastAsia"/>
          <w:b w:val="0"/>
          <w:color w:val="000000" w:themeColor="text1"/>
        </w:rPr>
        <w:t xml:space="preserve">, </w:t>
      </w:r>
      <w:proofErr w:type="spellStart"/>
      <w:r w:rsidRPr="00A013EE">
        <w:rPr>
          <w:rStyle w:val="Strong"/>
          <w:rFonts w:eastAsiaTheme="majorEastAsia"/>
          <w:b w:val="0"/>
          <w:color w:val="000000" w:themeColor="text1"/>
        </w:rPr>
        <w:t>Aboudéia</w:t>
      </w:r>
      <w:proofErr w:type="spellEnd"/>
      <w:r w:rsidRPr="00A013EE">
        <w:rPr>
          <w:rStyle w:val="Strong"/>
          <w:rFonts w:eastAsiaTheme="majorEastAsia"/>
          <w:b w:val="0"/>
          <w:color w:val="000000" w:themeColor="text1"/>
        </w:rPr>
        <w:t xml:space="preserve"> et </w:t>
      </w:r>
      <w:proofErr w:type="spellStart"/>
      <w:r w:rsidRPr="00A013EE">
        <w:rPr>
          <w:rStyle w:val="Strong"/>
          <w:rFonts w:eastAsiaTheme="majorEastAsia"/>
          <w:b w:val="0"/>
          <w:color w:val="000000" w:themeColor="text1"/>
        </w:rPr>
        <w:t>Bitkine</w:t>
      </w:r>
      <w:proofErr w:type="spellEnd"/>
      <w:r w:rsidR="00001C0B" w:rsidRPr="00A013EE">
        <w:rPr>
          <w:rStyle w:val="Strong"/>
          <w:rFonts w:eastAsiaTheme="majorEastAsia"/>
          <w:b w:val="0"/>
          <w:color w:val="000000" w:themeColor="text1"/>
        </w:rPr>
        <w:t xml:space="preserve">, situées </w:t>
      </w:r>
      <w:r w:rsidR="00001C0B" w:rsidRPr="00A013EE">
        <w:rPr>
          <w:color w:val="000000" w:themeColor="text1"/>
        </w:rPr>
        <w:t xml:space="preserve">dans la </w:t>
      </w:r>
      <w:r w:rsidR="00001C0B" w:rsidRPr="00A013EE">
        <w:rPr>
          <w:rStyle w:val="Strong"/>
          <w:rFonts w:eastAsiaTheme="majorEastAsia"/>
          <w:b w:val="0"/>
          <w:bCs w:val="0"/>
          <w:color w:val="000000" w:themeColor="text1"/>
        </w:rPr>
        <w:t>partie centrale et centre-est du Tchad,</w:t>
      </w:r>
      <w:r w:rsidRPr="00A013EE">
        <w:rPr>
          <w:rStyle w:val="Strong"/>
          <w:rFonts w:eastAsiaTheme="majorEastAsia"/>
          <w:color w:val="000000" w:themeColor="text1"/>
        </w:rPr>
        <w:t xml:space="preserve"> </w:t>
      </w:r>
      <w:r w:rsidRPr="00A013EE">
        <w:rPr>
          <w:color w:val="000000" w:themeColor="text1"/>
        </w:rPr>
        <w:t xml:space="preserve">révèlent une </w:t>
      </w:r>
      <w:r w:rsidRPr="00A013EE">
        <w:rPr>
          <w:rStyle w:val="Strong"/>
          <w:rFonts w:eastAsiaTheme="majorEastAsia"/>
          <w:b w:val="0"/>
          <w:color w:val="000000" w:themeColor="text1"/>
        </w:rPr>
        <w:t xml:space="preserve">prévalence alarmante des </w:t>
      </w:r>
      <w:r w:rsidR="00915FC6" w:rsidRPr="00A013EE">
        <w:rPr>
          <w:rStyle w:val="Strong"/>
          <w:rFonts w:eastAsiaTheme="majorEastAsia"/>
          <w:b w:val="0"/>
          <w:color w:val="000000" w:themeColor="text1"/>
        </w:rPr>
        <w:t>violences basées sur le genre (VBG)</w:t>
      </w:r>
      <w:r w:rsidRPr="00A013EE">
        <w:rPr>
          <w:color w:val="000000" w:themeColor="text1"/>
        </w:rPr>
        <w:t xml:space="preserve">, affectant principalement les </w:t>
      </w:r>
      <w:r w:rsidRPr="00A013EE">
        <w:rPr>
          <w:rStyle w:val="Strong"/>
          <w:rFonts w:eastAsiaTheme="majorEastAsia"/>
          <w:b w:val="0"/>
          <w:color w:val="000000" w:themeColor="text1"/>
        </w:rPr>
        <w:t>femmes et les filles</w:t>
      </w:r>
      <w:r w:rsidRPr="00A013EE">
        <w:rPr>
          <w:color w:val="000000" w:themeColor="text1"/>
        </w:rPr>
        <w:t xml:space="preserve">, dans un contexte marqué par les </w:t>
      </w:r>
      <w:r w:rsidRPr="00A013EE">
        <w:rPr>
          <w:rStyle w:val="Strong"/>
          <w:rFonts w:eastAsiaTheme="majorEastAsia"/>
          <w:b w:val="0"/>
          <w:color w:val="000000" w:themeColor="text1"/>
        </w:rPr>
        <w:t>pesanteurs socioculturelles, la pauvreté, les migrations et l’impunité</w:t>
      </w:r>
      <w:r w:rsidRPr="00A013EE">
        <w:rPr>
          <w:color w:val="000000" w:themeColor="text1"/>
        </w:rPr>
        <w:t>.</w:t>
      </w:r>
    </w:p>
    <w:p w14:paraId="3CB9F9F8" w14:textId="77C1DB3A" w:rsidR="00F931B1" w:rsidRPr="00A013EE" w:rsidRDefault="00F931B1" w:rsidP="00462D6F">
      <w:pPr>
        <w:pStyle w:val="NormalWeb"/>
        <w:jc w:val="both"/>
        <w:rPr>
          <w:color w:val="000000" w:themeColor="text1"/>
        </w:rPr>
      </w:pPr>
      <w:r w:rsidRPr="00A013EE">
        <w:rPr>
          <w:color w:val="000000" w:themeColor="text1"/>
        </w:rPr>
        <w:t xml:space="preserve">Au moins </w:t>
      </w:r>
      <w:r w:rsidRPr="00A013EE">
        <w:rPr>
          <w:rStyle w:val="Strong"/>
          <w:rFonts w:eastAsiaTheme="majorEastAsia"/>
          <w:bCs w:val="0"/>
          <w:color w:val="000000" w:themeColor="text1"/>
        </w:rPr>
        <w:t>28 cas de VBG</w:t>
      </w:r>
      <w:r w:rsidRPr="00A013EE">
        <w:rPr>
          <w:color w:val="000000" w:themeColor="text1"/>
        </w:rPr>
        <w:t xml:space="preserve"> ont été documentés au cours de la mission, dont </w:t>
      </w:r>
      <w:r w:rsidRPr="00A013EE">
        <w:rPr>
          <w:rStyle w:val="Strong"/>
          <w:rFonts w:eastAsiaTheme="majorEastAsia"/>
          <w:b w:val="0"/>
          <w:color w:val="000000" w:themeColor="text1"/>
        </w:rPr>
        <w:t>des viols de mineurs âgés de 7 à 17 ans</w:t>
      </w:r>
      <w:r w:rsidRPr="00A013EE">
        <w:rPr>
          <w:b/>
          <w:color w:val="000000" w:themeColor="text1"/>
        </w:rPr>
        <w:t xml:space="preserve">, </w:t>
      </w:r>
      <w:r w:rsidRPr="00A013EE">
        <w:rPr>
          <w:color w:val="000000" w:themeColor="text1"/>
        </w:rPr>
        <w:t>des</w:t>
      </w:r>
      <w:r w:rsidRPr="00A013EE">
        <w:rPr>
          <w:b/>
          <w:color w:val="000000" w:themeColor="text1"/>
        </w:rPr>
        <w:t xml:space="preserve"> </w:t>
      </w:r>
      <w:r w:rsidRPr="00A013EE">
        <w:rPr>
          <w:rStyle w:val="Strong"/>
          <w:rFonts w:eastAsiaTheme="majorEastAsia"/>
          <w:b w:val="0"/>
          <w:color w:val="000000" w:themeColor="text1"/>
        </w:rPr>
        <w:t>violences conjugales ayant entraîné la mort de quatre femmes</w:t>
      </w:r>
      <w:r w:rsidRPr="00A013EE">
        <w:rPr>
          <w:color w:val="000000" w:themeColor="text1"/>
        </w:rPr>
        <w:t xml:space="preserve">, des </w:t>
      </w:r>
      <w:r w:rsidRPr="00A013EE">
        <w:rPr>
          <w:rStyle w:val="Strong"/>
          <w:rFonts w:eastAsiaTheme="majorEastAsia"/>
          <w:b w:val="0"/>
          <w:color w:val="000000" w:themeColor="text1"/>
        </w:rPr>
        <w:t>sévices corporels graves</w:t>
      </w:r>
      <w:r w:rsidRPr="00A013EE">
        <w:rPr>
          <w:color w:val="000000" w:themeColor="text1"/>
        </w:rPr>
        <w:t xml:space="preserve">, ainsi que des </w:t>
      </w:r>
      <w:r w:rsidRPr="00A013EE">
        <w:rPr>
          <w:rStyle w:val="Strong"/>
          <w:rFonts w:eastAsiaTheme="majorEastAsia"/>
          <w:b w:val="0"/>
          <w:color w:val="000000" w:themeColor="text1"/>
        </w:rPr>
        <w:t>mariages précoces et forcés</w:t>
      </w:r>
      <w:r w:rsidRPr="00A013EE">
        <w:rPr>
          <w:color w:val="000000" w:themeColor="text1"/>
        </w:rPr>
        <w:t xml:space="preserve">, parfois imposés à des filles dès l’âge de </w:t>
      </w:r>
      <w:r w:rsidRPr="00A013EE">
        <w:rPr>
          <w:rStyle w:val="Strong"/>
          <w:rFonts w:eastAsiaTheme="majorEastAsia"/>
          <w:b w:val="0"/>
          <w:color w:val="000000" w:themeColor="text1"/>
        </w:rPr>
        <w:t>12 ans</w:t>
      </w:r>
      <w:r w:rsidRPr="00A013EE">
        <w:rPr>
          <w:color w:val="000000" w:themeColor="text1"/>
        </w:rPr>
        <w:t xml:space="preserve">. Les auteurs sont majoritairement des membres de la communauté, des proches familiaux et, dans certains cas, des </w:t>
      </w:r>
      <w:r w:rsidRPr="00A013EE">
        <w:rPr>
          <w:rStyle w:val="Strong"/>
          <w:rFonts w:eastAsiaTheme="majorEastAsia"/>
          <w:b w:val="0"/>
          <w:color w:val="000000" w:themeColor="text1"/>
        </w:rPr>
        <w:t>agents des Forces de Sécurité Intérieure (FSI)</w:t>
      </w:r>
      <w:r w:rsidRPr="00A013EE">
        <w:rPr>
          <w:b/>
          <w:color w:val="000000" w:themeColor="text1"/>
        </w:rPr>
        <w:t>.</w:t>
      </w:r>
    </w:p>
    <w:p w14:paraId="455A46B8" w14:textId="6E08868E" w:rsidR="00F931B1" w:rsidRPr="00A013EE" w:rsidRDefault="00F931B1" w:rsidP="00462D6F">
      <w:pPr>
        <w:pStyle w:val="NormalWeb"/>
        <w:jc w:val="both"/>
        <w:rPr>
          <w:color w:val="000000" w:themeColor="text1"/>
        </w:rPr>
      </w:pPr>
      <w:r w:rsidRPr="00A013EE">
        <w:rPr>
          <w:color w:val="000000" w:themeColor="text1"/>
        </w:rPr>
        <w:t xml:space="preserve">La LTDH a noté également </w:t>
      </w:r>
      <w:r w:rsidRPr="00A013EE">
        <w:rPr>
          <w:bCs/>
          <w:color w:val="000000" w:themeColor="text1"/>
        </w:rPr>
        <w:t>l’</w:t>
      </w:r>
      <w:r w:rsidRPr="00A013EE">
        <w:rPr>
          <w:rStyle w:val="Strong"/>
          <w:rFonts w:eastAsiaTheme="majorEastAsia"/>
          <w:b w:val="0"/>
          <w:color w:val="000000" w:themeColor="text1"/>
        </w:rPr>
        <w:t>insuffisance des mécanismes de prévention, de protection et de prise en charge des survivantes</w:t>
      </w:r>
      <w:r w:rsidRPr="00A013EE">
        <w:rPr>
          <w:color w:val="000000" w:themeColor="text1"/>
        </w:rPr>
        <w:t xml:space="preserve">, l’absence de bases de données fiables sur les VBG et le recours fréquent à des </w:t>
      </w:r>
      <w:r w:rsidRPr="00A013EE">
        <w:rPr>
          <w:rStyle w:val="Strong"/>
          <w:rFonts w:eastAsiaTheme="majorEastAsia"/>
          <w:b w:val="0"/>
          <w:color w:val="000000" w:themeColor="text1"/>
        </w:rPr>
        <w:t>mécanismes de règlement informels</w:t>
      </w:r>
      <w:r w:rsidRPr="00A013EE">
        <w:rPr>
          <w:color w:val="000000" w:themeColor="text1"/>
        </w:rPr>
        <w:t xml:space="preserve"> se traduisant par des amendes extrajudiciaires, au détriment de l’accès à la justice et de la lutte contre l’impunité.</w:t>
      </w:r>
    </w:p>
    <w:p w14:paraId="3357E45A" w14:textId="373C3EF2" w:rsidR="00F931B1" w:rsidRPr="00A013EE" w:rsidRDefault="00F931B1" w:rsidP="00462D6F">
      <w:pPr>
        <w:pStyle w:val="NormalWeb"/>
        <w:jc w:val="both"/>
        <w:rPr>
          <w:color w:val="000000" w:themeColor="text1"/>
        </w:rPr>
      </w:pPr>
      <w:r w:rsidRPr="00A013EE">
        <w:rPr>
          <w:color w:val="000000" w:themeColor="text1"/>
        </w:rPr>
        <w:t xml:space="preserve">Par ailleurs, le constat est que les </w:t>
      </w:r>
      <w:r w:rsidRPr="00A013EE">
        <w:rPr>
          <w:rStyle w:val="Strong"/>
          <w:rFonts w:eastAsiaTheme="majorEastAsia"/>
          <w:b w:val="0"/>
          <w:color w:val="000000" w:themeColor="text1"/>
        </w:rPr>
        <w:t>conditions de détention</w:t>
      </w:r>
      <w:r w:rsidRPr="00A013EE">
        <w:rPr>
          <w:color w:val="000000" w:themeColor="text1"/>
        </w:rPr>
        <w:t xml:space="preserve">, notamment à la </w:t>
      </w:r>
      <w:r w:rsidRPr="00A013EE">
        <w:rPr>
          <w:rStyle w:val="Strong"/>
          <w:rFonts w:eastAsiaTheme="majorEastAsia"/>
          <w:b w:val="0"/>
          <w:color w:val="000000" w:themeColor="text1"/>
        </w:rPr>
        <w:t xml:space="preserve">Maison d’Arrêt de </w:t>
      </w:r>
      <w:proofErr w:type="spellStart"/>
      <w:r w:rsidRPr="00A013EE">
        <w:rPr>
          <w:rStyle w:val="Strong"/>
          <w:rFonts w:eastAsiaTheme="majorEastAsia"/>
          <w:b w:val="0"/>
          <w:color w:val="000000" w:themeColor="text1"/>
        </w:rPr>
        <w:t>Bitkine</w:t>
      </w:r>
      <w:proofErr w:type="spellEnd"/>
      <w:r w:rsidRPr="00A013EE">
        <w:rPr>
          <w:color w:val="000000" w:themeColor="text1"/>
        </w:rPr>
        <w:t xml:space="preserve">, aggravent la vulnérabilité des femmes et des filles en conflit avec la loi, exposées à des </w:t>
      </w:r>
      <w:r w:rsidRPr="00A013EE">
        <w:rPr>
          <w:rStyle w:val="Strong"/>
          <w:rFonts w:eastAsiaTheme="majorEastAsia"/>
          <w:b w:val="0"/>
          <w:color w:val="000000" w:themeColor="text1"/>
        </w:rPr>
        <w:t>traitements inhumains et dégradants</w:t>
      </w:r>
      <w:r w:rsidRPr="00A013EE">
        <w:rPr>
          <w:color w:val="000000" w:themeColor="text1"/>
        </w:rPr>
        <w:t xml:space="preserve">, dans un environnement marqué par la surpopulation, </w:t>
      </w:r>
      <w:r w:rsidRPr="00A013EE">
        <w:rPr>
          <w:color w:val="000000" w:themeColor="text1"/>
        </w:rPr>
        <w:lastRenderedPageBreak/>
        <w:t>l’absence d’eau potable, l’hygiène défaillante et le non-respect des normes minimales de détention.</w:t>
      </w:r>
    </w:p>
    <w:p w14:paraId="6BB25AFD" w14:textId="250236AD" w:rsidR="006E5019" w:rsidRDefault="00F931B1" w:rsidP="00462D6F">
      <w:pPr>
        <w:pStyle w:val="NormalWeb"/>
        <w:spacing w:before="0" w:beforeAutospacing="0" w:after="0" w:afterAutospacing="0" w:line="276" w:lineRule="auto"/>
        <w:jc w:val="both"/>
      </w:pPr>
      <w:r w:rsidRPr="00A013EE">
        <w:rPr>
          <w:color w:val="000000" w:themeColor="text1"/>
        </w:rPr>
        <w:t xml:space="preserve">Dans le ressort de la </w:t>
      </w:r>
      <w:r w:rsidRPr="00A013EE">
        <w:rPr>
          <w:rStyle w:val="Strong"/>
          <w:rFonts w:eastAsiaTheme="majorEastAsia"/>
          <w:b w:val="0"/>
          <w:color w:val="000000" w:themeColor="text1"/>
        </w:rPr>
        <w:t>Cour d’Appel de Moundou</w:t>
      </w:r>
      <w:r w:rsidRPr="00A013EE">
        <w:rPr>
          <w:color w:val="000000" w:themeColor="text1"/>
        </w:rPr>
        <w:t xml:space="preserve">, couvrant les provinces des </w:t>
      </w:r>
      <w:r w:rsidRPr="00A013EE">
        <w:rPr>
          <w:rStyle w:val="Strong"/>
          <w:rFonts w:eastAsiaTheme="majorEastAsia"/>
          <w:b w:val="0"/>
          <w:color w:val="000000" w:themeColor="text1"/>
        </w:rPr>
        <w:t xml:space="preserve">deux </w:t>
      </w:r>
      <w:proofErr w:type="spellStart"/>
      <w:r w:rsidRPr="00A013EE">
        <w:rPr>
          <w:rStyle w:val="Strong"/>
          <w:rFonts w:eastAsiaTheme="majorEastAsia"/>
          <w:b w:val="0"/>
          <w:color w:val="000000" w:themeColor="text1"/>
        </w:rPr>
        <w:t>Logones</w:t>
      </w:r>
      <w:proofErr w:type="spellEnd"/>
      <w:r w:rsidRPr="00A013EE">
        <w:rPr>
          <w:rStyle w:val="Strong"/>
          <w:rFonts w:eastAsiaTheme="majorEastAsia"/>
          <w:b w:val="0"/>
          <w:color w:val="000000" w:themeColor="text1"/>
        </w:rPr>
        <w:t xml:space="preserve">, de la </w:t>
      </w:r>
      <w:proofErr w:type="spellStart"/>
      <w:r w:rsidRPr="00A013EE">
        <w:rPr>
          <w:rStyle w:val="Strong"/>
          <w:rFonts w:eastAsiaTheme="majorEastAsia"/>
          <w:b w:val="0"/>
          <w:color w:val="000000" w:themeColor="text1"/>
        </w:rPr>
        <w:t>Tandjilé</w:t>
      </w:r>
      <w:proofErr w:type="spellEnd"/>
      <w:r w:rsidRPr="00A013EE">
        <w:rPr>
          <w:rStyle w:val="Strong"/>
          <w:rFonts w:eastAsiaTheme="majorEastAsia"/>
          <w:b w:val="0"/>
          <w:color w:val="000000" w:themeColor="text1"/>
        </w:rPr>
        <w:t xml:space="preserve"> et du Mayo </w:t>
      </w:r>
      <w:proofErr w:type="spellStart"/>
      <w:r w:rsidRPr="00A013EE">
        <w:rPr>
          <w:rStyle w:val="Strong"/>
          <w:rFonts w:eastAsiaTheme="majorEastAsia"/>
          <w:b w:val="0"/>
          <w:color w:val="000000" w:themeColor="text1"/>
        </w:rPr>
        <w:t>Kebbi</w:t>
      </w:r>
      <w:proofErr w:type="spellEnd"/>
      <w:r w:rsidRPr="00A013EE">
        <w:rPr>
          <w:rStyle w:val="Strong"/>
          <w:rFonts w:eastAsiaTheme="majorEastAsia"/>
          <w:b w:val="0"/>
          <w:color w:val="000000" w:themeColor="text1"/>
        </w:rPr>
        <w:t xml:space="preserve"> Ouest</w:t>
      </w:r>
      <w:r w:rsidR="00001C0B" w:rsidRPr="00A013EE">
        <w:rPr>
          <w:rStyle w:val="Strong"/>
          <w:rFonts w:eastAsiaTheme="majorEastAsia"/>
          <w:b w:val="0"/>
          <w:color w:val="000000" w:themeColor="text1"/>
        </w:rPr>
        <w:t xml:space="preserve"> situées au Sud-Ouest du pays</w:t>
      </w:r>
      <w:r w:rsidRPr="00A013EE">
        <w:rPr>
          <w:rStyle w:val="Strong"/>
          <w:rFonts w:eastAsiaTheme="majorEastAsia"/>
          <w:b w:val="0"/>
          <w:color w:val="000000" w:themeColor="text1"/>
        </w:rPr>
        <w:t>,</w:t>
      </w:r>
      <w:r w:rsidRPr="00A013EE">
        <w:rPr>
          <w:rStyle w:val="Strong"/>
          <w:rFonts w:eastAsiaTheme="majorEastAsia"/>
          <w:color w:val="000000" w:themeColor="text1"/>
        </w:rPr>
        <w:t xml:space="preserve"> </w:t>
      </w:r>
      <w:r w:rsidRPr="00A013EE">
        <w:rPr>
          <w:color w:val="000000" w:themeColor="text1"/>
        </w:rPr>
        <w:t xml:space="preserve">les données collectées révèlent une </w:t>
      </w:r>
      <w:r w:rsidRPr="00A013EE">
        <w:rPr>
          <w:rStyle w:val="Strong"/>
          <w:rFonts w:eastAsiaTheme="majorEastAsia"/>
          <w:b w:val="0"/>
          <w:color w:val="000000" w:themeColor="text1"/>
        </w:rPr>
        <w:t xml:space="preserve">prévalence extrêmement élevée des </w:t>
      </w:r>
      <w:r w:rsidR="00D22DDF">
        <w:rPr>
          <w:rStyle w:val="Strong"/>
          <w:rFonts w:eastAsiaTheme="majorEastAsia"/>
          <w:b w:val="0"/>
          <w:color w:val="000000" w:themeColor="text1"/>
        </w:rPr>
        <w:t xml:space="preserve">VBG. </w:t>
      </w:r>
      <w:r w:rsidR="00D22DDF" w:rsidRPr="00F167BA">
        <w:rPr>
          <w:color w:val="000000" w:themeColor="text1"/>
        </w:rPr>
        <w:t xml:space="preserve">Sur la base des </w:t>
      </w:r>
      <w:r w:rsidR="00D22DDF" w:rsidRPr="00F167BA">
        <w:rPr>
          <w:rStyle w:val="Strong"/>
          <w:rFonts w:eastAsiaTheme="majorEastAsia"/>
          <w:b w:val="0"/>
          <w:color w:val="000000" w:themeColor="text1"/>
        </w:rPr>
        <w:t>données explicitement documentées</w:t>
      </w:r>
      <w:r w:rsidR="00D22DDF" w:rsidRPr="00F167BA">
        <w:rPr>
          <w:color w:val="000000" w:themeColor="text1"/>
        </w:rPr>
        <w:t xml:space="preserve">, la LTDH a recensé </w:t>
      </w:r>
      <w:r w:rsidR="00D22DDF" w:rsidRPr="00F167BA">
        <w:rPr>
          <w:rStyle w:val="Strong"/>
          <w:rFonts w:eastAsiaTheme="majorEastAsia"/>
          <w:b w:val="0"/>
          <w:color w:val="000000" w:themeColor="text1"/>
        </w:rPr>
        <w:t>plus de 1 000 cas de VBG</w:t>
      </w:r>
      <w:r w:rsidR="00D22DDF" w:rsidRPr="00F167BA">
        <w:rPr>
          <w:color w:val="000000" w:themeColor="text1"/>
        </w:rPr>
        <w:t xml:space="preserve"> dans le ressort de la </w:t>
      </w:r>
      <w:r w:rsidR="00D22DDF" w:rsidRPr="00F167BA">
        <w:rPr>
          <w:rStyle w:val="Strong"/>
          <w:rFonts w:eastAsiaTheme="majorEastAsia"/>
          <w:b w:val="0"/>
          <w:color w:val="000000" w:themeColor="text1"/>
        </w:rPr>
        <w:t>Cour d’Appel de Moundou</w:t>
      </w:r>
      <w:r w:rsidR="00D22DDF" w:rsidRPr="00F167BA">
        <w:rPr>
          <w:color w:val="000000" w:themeColor="text1"/>
        </w:rPr>
        <w:t xml:space="preserve"> en 2024.</w:t>
      </w:r>
      <w:r w:rsidR="00D22DDF">
        <w:rPr>
          <w:color w:val="000000" w:themeColor="text1"/>
        </w:rPr>
        <w:t xml:space="preserve"> </w:t>
      </w:r>
      <w:r w:rsidRPr="00462D6F">
        <w:t xml:space="preserve">Les VBG documentées comprennent notamment : </w:t>
      </w:r>
      <w:r w:rsidRPr="00664A71">
        <w:rPr>
          <w:rStyle w:val="Strong"/>
          <w:rFonts w:eastAsiaTheme="majorEastAsia"/>
          <w:b w:val="0"/>
        </w:rPr>
        <w:t>viols (y compris sur mineures), violences conjugales, féminicides, mariages précoces et forcés, agressions sexuelles, exploitations sexuelles, déni de ressources, violences psychologiques et morales, ainsi que des cas graves de maltraitance d’enfants</w:t>
      </w:r>
      <w:r w:rsidRPr="00664A71">
        <w:rPr>
          <w:b/>
        </w:rPr>
        <w:t xml:space="preserve">. </w:t>
      </w:r>
      <w:r w:rsidRPr="00462D6F">
        <w:t xml:space="preserve">Une part significative de ces violations est attribuée à des </w:t>
      </w:r>
      <w:r w:rsidRPr="00664A71">
        <w:rPr>
          <w:rStyle w:val="Strong"/>
          <w:rFonts w:eastAsiaTheme="majorEastAsia"/>
          <w:b w:val="0"/>
        </w:rPr>
        <w:t>agents des Forces de Sécurité Intérieure</w:t>
      </w:r>
      <w:r w:rsidRPr="00664A71">
        <w:rPr>
          <w:b/>
        </w:rPr>
        <w:t>,</w:t>
      </w:r>
      <w:r w:rsidRPr="00462D6F">
        <w:t xml:space="preserve"> ou à des auteurs bénéficiant de </w:t>
      </w:r>
      <w:r w:rsidRPr="00664A71">
        <w:rPr>
          <w:rStyle w:val="Strong"/>
          <w:rFonts w:eastAsiaTheme="majorEastAsia"/>
          <w:b w:val="0"/>
        </w:rPr>
        <w:t>protections hiérarchiques</w:t>
      </w:r>
      <w:r w:rsidRPr="00462D6F">
        <w:t>, ce qui limite les poursuites judiciaires effectives.</w:t>
      </w:r>
    </w:p>
    <w:p w14:paraId="2950FB17" w14:textId="77777777" w:rsidR="00B747BF" w:rsidRDefault="00B747BF" w:rsidP="00462D6F">
      <w:pPr>
        <w:pStyle w:val="NormalWeb"/>
        <w:spacing w:before="0" w:beforeAutospacing="0" w:after="0" w:afterAutospacing="0" w:line="276" w:lineRule="auto"/>
        <w:jc w:val="both"/>
      </w:pPr>
    </w:p>
    <w:tbl>
      <w:tblPr>
        <w:tblStyle w:val="TableGrid"/>
        <w:tblW w:w="0" w:type="auto"/>
        <w:tblLook w:val="04A0" w:firstRow="1" w:lastRow="0" w:firstColumn="1" w:lastColumn="0" w:noHBand="0" w:noVBand="1"/>
      </w:tblPr>
      <w:tblGrid>
        <w:gridCol w:w="9062"/>
      </w:tblGrid>
      <w:tr w:rsidR="0025132C" w14:paraId="096EC073" w14:textId="77777777" w:rsidTr="0025132C">
        <w:tc>
          <w:tcPr>
            <w:tcW w:w="9062" w:type="dxa"/>
          </w:tcPr>
          <w:p w14:paraId="7B8CEE72" w14:textId="77777777" w:rsidR="0025132C" w:rsidRDefault="0025132C" w:rsidP="0025132C">
            <w:pPr>
              <w:pStyle w:val="NormalWeb"/>
              <w:spacing w:before="0" w:beforeAutospacing="0" w:after="0" w:afterAutospacing="0" w:line="276" w:lineRule="auto"/>
              <w:jc w:val="both"/>
            </w:pPr>
            <w:r>
              <w:t>Recommandations :</w:t>
            </w:r>
          </w:p>
          <w:p w14:paraId="68EA9BD0" w14:textId="77777777" w:rsidR="004D6C02" w:rsidRDefault="004D6C02" w:rsidP="0025132C">
            <w:pPr>
              <w:pStyle w:val="NormalWeb"/>
              <w:spacing w:before="0" w:beforeAutospacing="0" w:after="0" w:afterAutospacing="0" w:line="276" w:lineRule="auto"/>
              <w:jc w:val="both"/>
            </w:pPr>
          </w:p>
          <w:p w14:paraId="68A48805" w14:textId="213C4905" w:rsidR="0025132C" w:rsidRDefault="0025132C" w:rsidP="004D6C02">
            <w:pPr>
              <w:pStyle w:val="NormalWeb"/>
              <w:numPr>
                <w:ilvl w:val="0"/>
                <w:numId w:val="31"/>
              </w:numPr>
              <w:spacing w:before="0" w:beforeAutospacing="0" w:after="0" w:afterAutospacing="0" w:line="276" w:lineRule="auto"/>
              <w:jc w:val="both"/>
            </w:pPr>
            <w:r>
              <w:t>Renforcer l’application des lois relatives aux violences basées sur le genre, y compris lorsque les auteurs sont des agents des Forces de Sécurité Intérieure, en mettant fin aux mécanismes de règlements informels et en garantissant des enquêtes et poursuites effectives ;</w:t>
            </w:r>
          </w:p>
          <w:p w14:paraId="72EEBC90" w14:textId="70814D0E" w:rsidR="0025132C" w:rsidRDefault="004D6C02" w:rsidP="004D6C02">
            <w:pPr>
              <w:pStyle w:val="NormalWeb"/>
              <w:numPr>
                <w:ilvl w:val="0"/>
                <w:numId w:val="31"/>
              </w:numPr>
              <w:spacing w:before="0" w:beforeAutospacing="0" w:after="0" w:afterAutospacing="0" w:line="276" w:lineRule="auto"/>
              <w:jc w:val="both"/>
            </w:pPr>
            <w:r>
              <w:t>Mettre en place des mécanismes intégrés et accessibles de prévention, de protection et de prise en charge des survivantes de VBG, et développer des systèmes fiables de collecte et de gestion des données désagrégées sur les VBG ;</w:t>
            </w:r>
          </w:p>
          <w:p w14:paraId="0334535D" w14:textId="6782B449" w:rsidR="0025132C" w:rsidRDefault="004D6C02" w:rsidP="00A013EE">
            <w:pPr>
              <w:pStyle w:val="NormalWeb"/>
              <w:numPr>
                <w:ilvl w:val="0"/>
                <w:numId w:val="31"/>
              </w:numPr>
            </w:pPr>
            <w:r>
              <w:t xml:space="preserve">Améliorer les conditions de détention des femmes et des filles conformément aux standards internationaux, notamment </w:t>
            </w:r>
            <w:r w:rsidRPr="00336495">
              <w:rPr>
                <w:color w:val="000000" w:themeColor="text1"/>
              </w:rPr>
              <w:t xml:space="preserve">à la </w:t>
            </w:r>
            <w:r w:rsidRPr="00336495">
              <w:rPr>
                <w:rStyle w:val="Strong"/>
                <w:rFonts w:eastAsiaTheme="majorEastAsia"/>
                <w:b w:val="0"/>
                <w:color w:val="000000" w:themeColor="text1"/>
              </w:rPr>
              <w:t xml:space="preserve">Maison d’Arrêt de </w:t>
            </w:r>
            <w:proofErr w:type="spellStart"/>
            <w:r w:rsidRPr="00336495">
              <w:rPr>
                <w:rStyle w:val="Strong"/>
                <w:rFonts w:eastAsiaTheme="majorEastAsia"/>
                <w:b w:val="0"/>
                <w:color w:val="000000" w:themeColor="text1"/>
              </w:rPr>
              <w:t>Bitkine</w:t>
            </w:r>
            <w:proofErr w:type="spellEnd"/>
            <w:r>
              <w:rPr>
                <w:rStyle w:val="Strong"/>
                <w:rFonts w:eastAsiaTheme="majorEastAsia"/>
                <w:b w:val="0"/>
                <w:color w:val="000000" w:themeColor="text1"/>
              </w:rPr>
              <w:t>.</w:t>
            </w:r>
          </w:p>
        </w:tc>
      </w:tr>
    </w:tbl>
    <w:p w14:paraId="18B917EB" w14:textId="77777777" w:rsidR="00B747BF" w:rsidRPr="00462D6F" w:rsidRDefault="00B747BF" w:rsidP="00462D6F">
      <w:pPr>
        <w:pStyle w:val="NormalWeb"/>
        <w:spacing w:before="0" w:beforeAutospacing="0" w:after="0" w:afterAutospacing="0" w:line="276" w:lineRule="auto"/>
        <w:jc w:val="both"/>
        <w:rPr>
          <w:rStyle w:val="Strong"/>
          <w:rFonts w:eastAsiaTheme="majorEastAsia"/>
          <w:bCs w:val="0"/>
          <w:color w:val="000000"/>
        </w:rPr>
      </w:pPr>
    </w:p>
    <w:p w14:paraId="6B45A79C" w14:textId="77777777" w:rsidR="006E5019" w:rsidRPr="00155D69" w:rsidRDefault="006E5019" w:rsidP="00155D69">
      <w:pPr>
        <w:pStyle w:val="NormalWeb"/>
        <w:spacing w:before="0" w:beforeAutospacing="0" w:after="0" w:afterAutospacing="0" w:line="276" w:lineRule="auto"/>
        <w:rPr>
          <w:rStyle w:val="Strong"/>
          <w:rFonts w:eastAsiaTheme="majorEastAsia"/>
          <w:b w:val="0"/>
          <w:bCs w:val="0"/>
          <w:color w:val="000000"/>
        </w:rPr>
      </w:pPr>
    </w:p>
    <w:p w14:paraId="4CE4A721" w14:textId="77777777" w:rsidR="00D23F71" w:rsidRPr="00156341" w:rsidRDefault="00D23F71" w:rsidP="00264799">
      <w:pPr>
        <w:pStyle w:val="NormalWeb"/>
        <w:numPr>
          <w:ilvl w:val="0"/>
          <w:numId w:val="15"/>
        </w:numPr>
        <w:spacing w:before="0" w:beforeAutospacing="0" w:after="0" w:afterAutospacing="0" w:line="276" w:lineRule="auto"/>
        <w:rPr>
          <w:rStyle w:val="Strong"/>
          <w:rFonts w:eastAsiaTheme="majorEastAsia"/>
          <w:b w:val="0"/>
          <w:bCs w:val="0"/>
          <w:color w:val="000000"/>
          <w:u w:val="single"/>
        </w:rPr>
      </w:pPr>
      <w:r>
        <w:rPr>
          <w:rStyle w:val="Strong"/>
          <w:rFonts w:eastAsiaTheme="majorEastAsia"/>
          <w:color w:val="000000"/>
          <w:u w:val="single"/>
        </w:rPr>
        <w:t>Droit à la vie (article 6)</w:t>
      </w:r>
    </w:p>
    <w:p w14:paraId="3E942189" w14:textId="77777777" w:rsidR="00156341" w:rsidRDefault="00156341" w:rsidP="00156341">
      <w:pPr>
        <w:pStyle w:val="NormalWeb"/>
        <w:spacing w:before="0" w:beforeAutospacing="0" w:after="0" w:afterAutospacing="0" w:line="276" w:lineRule="auto"/>
        <w:rPr>
          <w:rStyle w:val="Strong"/>
          <w:rFonts w:eastAsiaTheme="majorEastAsia"/>
          <w:color w:val="000000"/>
          <w:u w:val="single"/>
        </w:rPr>
      </w:pPr>
    </w:p>
    <w:p w14:paraId="53943152" w14:textId="2C792633" w:rsidR="001A4F5C" w:rsidRPr="001A4F5C" w:rsidRDefault="001A4F5C" w:rsidP="00156341">
      <w:pPr>
        <w:pStyle w:val="NormalWeb"/>
        <w:numPr>
          <w:ilvl w:val="0"/>
          <w:numId w:val="24"/>
        </w:numPr>
        <w:spacing w:before="0" w:beforeAutospacing="0" w:after="0" w:afterAutospacing="0" w:line="276" w:lineRule="auto"/>
        <w:rPr>
          <w:rStyle w:val="Strong"/>
          <w:rFonts w:eastAsiaTheme="majorEastAsia"/>
          <w:color w:val="000000"/>
        </w:rPr>
      </w:pPr>
      <w:r w:rsidRPr="001A4F5C">
        <w:rPr>
          <w:rStyle w:val="Strong"/>
          <w:rFonts w:eastAsiaTheme="majorEastAsia"/>
          <w:color w:val="000000"/>
        </w:rPr>
        <w:t xml:space="preserve">Peine de mort </w:t>
      </w:r>
    </w:p>
    <w:p w14:paraId="324B0560" w14:textId="77777777" w:rsidR="001A4F5C" w:rsidRDefault="001A4F5C" w:rsidP="001A4F5C">
      <w:pPr>
        <w:pStyle w:val="NormalWeb"/>
        <w:spacing w:before="0" w:beforeAutospacing="0" w:after="0" w:afterAutospacing="0" w:line="276" w:lineRule="auto"/>
        <w:rPr>
          <w:rStyle w:val="Strong"/>
          <w:rFonts w:eastAsiaTheme="majorEastAsia"/>
          <w:b w:val="0"/>
          <w:bCs w:val="0"/>
          <w:color w:val="000000"/>
        </w:rPr>
      </w:pPr>
    </w:p>
    <w:p w14:paraId="6E2D6103" w14:textId="77777777" w:rsidR="001A4F5C" w:rsidRDefault="001A4F5C" w:rsidP="00FE02B4">
      <w:pPr>
        <w:jc w:val="both"/>
        <w:rPr>
          <w:color w:val="000000"/>
        </w:rPr>
      </w:pPr>
      <w:r>
        <w:rPr>
          <w:color w:val="000000"/>
        </w:rPr>
        <w:t>Bien que le Code pénal adopté en 2017 ne prévoyait plus l’application de la peine de mort, celle-ci est restée en vigueur dans la loi anti-terroriste jusqu’en 2020 au moment de l’adoption à l’unanimité par l’Assemblée nationale d’une nouvelle loi portant répression des actes de terrorisme qui a confirmé son abolition, comme cela a été souligné par l’État partie dans son troisième rapport périodique.</w:t>
      </w:r>
      <w:r>
        <w:rPr>
          <w:color w:val="000000"/>
          <w:vertAlign w:val="superscript"/>
        </w:rPr>
        <w:footnoteReference w:id="2"/>
      </w:r>
      <w:r>
        <w:rPr>
          <w:color w:val="000000"/>
        </w:rPr>
        <w:t xml:space="preserve"> </w:t>
      </w:r>
    </w:p>
    <w:p w14:paraId="5DEFA427" w14:textId="77777777" w:rsidR="001A4F5C" w:rsidRDefault="001A4F5C" w:rsidP="00FE02B4">
      <w:pPr>
        <w:jc w:val="both"/>
        <w:rPr>
          <w:color w:val="000000"/>
        </w:rPr>
      </w:pPr>
    </w:p>
    <w:p w14:paraId="15656701" w14:textId="4D7953F1" w:rsidR="001A4F5C" w:rsidRDefault="001A4F5C" w:rsidP="00FE02B4">
      <w:pPr>
        <w:pStyle w:val="NormalWeb"/>
        <w:spacing w:before="0" w:beforeAutospacing="0" w:after="0" w:afterAutospacing="0" w:line="276" w:lineRule="auto"/>
        <w:jc w:val="both"/>
        <w:rPr>
          <w:color w:val="000000"/>
        </w:rPr>
      </w:pPr>
      <w:r>
        <w:rPr>
          <w:color w:val="000000"/>
        </w:rPr>
        <w:t>Toutefois, l’abolition de la peine de mort n’est toujours pas constitutionnalisée et le Tchad n’a pas ratifié le deuxième Protocole facultatif se rapportant au Pacte International relatif aux Droits Civils et Politiques pour l’abolition de la peine de mort.</w:t>
      </w:r>
    </w:p>
    <w:p w14:paraId="7E7ABD59" w14:textId="77777777" w:rsidR="001A4F5C" w:rsidRDefault="001A4F5C" w:rsidP="00FE02B4">
      <w:pPr>
        <w:pStyle w:val="NormalWeb"/>
        <w:spacing w:before="0" w:beforeAutospacing="0" w:after="0" w:afterAutospacing="0" w:line="276" w:lineRule="auto"/>
        <w:jc w:val="both"/>
        <w:rPr>
          <w:color w:val="000000"/>
        </w:rPr>
      </w:pPr>
    </w:p>
    <w:p w14:paraId="49EB2D20" w14:textId="4CF9861E" w:rsidR="001A4F5C" w:rsidRDefault="001A4F5C" w:rsidP="00FE02B4">
      <w:pPr>
        <w:pStyle w:val="NormalWeb"/>
        <w:spacing w:before="0" w:beforeAutospacing="0" w:after="0" w:afterAutospacing="0" w:line="276" w:lineRule="auto"/>
        <w:jc w:val="both"/>
        <w:rPr>
          <w:color w:val="000000"/>
        </w:rPr>
      </w:pPr>
      <w:r>
        <w:rPr>
          <w:color w:val="000000"/>
        </w:rPr>
        <w:lastRenderedPageBreak/>
        <w:t xml:space="preserve">Le </w:t>
      </w:r>
      <w:r w:rsidR="00FE02B4">
        <w:rPr>
          <w:color w:val="000000"/>
        </w:rPr>
        <w:t xml:space="preserve">23 juin 2025, un arrêté </w:t>
      </w:r>
      <w:r w:rsidR="00FE02B4" w:rsidRPr="00FE02B4">
        <w:rPr>
          <w:color w:val="000000"/>
        </w:rPr>
        <w:t>n°82/PR/PM/MJDH/SE/SG/DGA/DLSA/2025</w:t>
      </w:r>
      <w:r w:rsidR="00FE02B4">
        <w:rPr>
          <w:color w:val="000000"/>
        </w:rPr>
        <w:t xml:space="preserve"> </w:t>
      </w:r>
      <w:r w:rsidR="00FE02B4" w:rsidRPr="00FE02B4">
        <w:rPr>
          <w:color w:val="000000"/>
        </w:rPr>
        <w:t>portant mise en place d’une commission chargée de réfléchir sur la problématique de la peine de mort.</w:t>
      </w:r>
      <w:r w:rsidR="00FE02B4">
        <w:t xml:space="preserve"> </w:t>
      </w:r>
      <w:r w:rsidR="00FE02B4" w:rsidRPr="00FE02B4">
        <w:rPr>
          <w:color w:val="000000"/>
        </w:rPr>
        <w:t xml:space="preserve">L’arrêté précise que cette Commission a notamment pour mission de « </w:t>
      </w:r>
      <w:r w:rsidR="00FE02B4" w:rsidRPr="00FE02B4">
        <w:rPr>
          <w:i/>
          <w:iCs/>
          <w:color w:val="000000"/>
        </w:rPr>
        <w:t>réfléchir sur la restauration de la peine de mort</w:t>
      </w:r>
      <w:r w:rsidR="00FE02B4" w:rsidRPr="00FE02B4">
        <w:rPr>
          <w:color w:val="000000"/>
        </w:rPr>
        <w:t xml:space="preserve"> » et de formuler des suggestions sur cette question aux plus hautes autorités de l’État</w:t>
      </w:r>
      <w:r w:rsidR="00AF7CB4">
        <w:rPr>
          <w:color w:val="000000"/>
        </w:rPr>
        <w:t xml:space="preserve">. </w:t>
      </w:r>
      <w:r w:rsidR="00FE02B4" w:rsidRPr="00FE02B4">
        <w:rPr>
          <w:color w:val="000000"/>
        </w:rPr>
        <w:t>, ce qui laisse craindre une réinstauration prochaine de la peine capitale.</w:t>
      </w:r>
      <w:r w:rsidR="00FE02B4">
        <w:rPr>
          <w:rStyle w:val="FootnoteReference"/>
          <w:color w:val="000000"/>
        </w:rPr>
        <w:footnoteReference w:id="3"/>
      </w:r>
      <w:r w:rsidR="00AF7CB4">
        <w:rPr>
          <w:color w:val="000000"/>
        </w:rPr>
        <w:t xml:space="preserve"> Si au jour de publication du présent rapport, aucune décision officielle de réinstaurer la peine de mort n’a été adoptée, les organisations de la société civile soulignent le besoin d’une vigilance continue pour éviter toute remise en cause des engagements abolitionnistes du pays, un </w:t>
      </w:r>
      <w:r w:rsidR="004B6B09">
        <w:rPr>
          <w:color w:val="000000"/>
        </w:rPr>
        <w:t>avis</w:t>
      </w:r>
      <w:r w:rsidR="00AF7CB4">
        <w:rPr>
          <w:color w:val="000000"/>
        </w:rPr>
        <w:t xml:space="preserve"> également partagé par la CNDH.</w:t>
      </w:r>
      <w:r w:rsidR="00AF7CB4">
        <w:rPr>
          <w:rStyle w:val="FootnoteReference"/>
          <w:color w:val="000000"/>
        </w:rPr>
        <w:footnoteReference w:id="4"/>
      </w:r>
    </w:p>
    <w:p w14:paraId="4AE3E9B1" w14:textId="77777777" w:rsidR="004D6C02" w:rsidRDefault="004D6C02" w:rsidP="00FE02B4">
      <w:pPr>
        <w:pStyle w:val="NormalWeb"/>
        <w:spacing w:before="0" w:beforeAutospacing="0" w:after="0" w:afterAutospacing="0" w:line="276" w:lineRule="auto"/>
        <w:jc w:val="both"/>
        <w:rPr>
          <w:color w:val="000000"/>
        </w:rPr>
      </w:pPr>
    </w:p>
    <w:tbl>
      <w:tblPr>
        <w:tblStyle w:val="TableGrid"/>
        <w:tblW w:w="0" w:type="auto"/>
        <w:tblLook w:val="04A0" w:firstRow="1" w:lastRow="0" w:firstColumn="1" w:lastColumn="0" w:noHBand="0" w:noVBand="1"/>
      </w:tblPr>
      <w:tblGrid>
        <w:gridCol w:w="9062"/>
      </w:tblGrid>
      <w:tr w:rsidR="004D6C02" w14:paraId="0FC2DFAA" w14:textId="77777777" w:rsidTr="004D6C02">
        <w:tc>
          <w:tcPr>
            <w:tcW w:w="9062" w:type="dxa"/>
          </w:tcPr>
          <w:p w14:paraId="2C1F95A6" w14:textId="77777777" w:rsidR="004D6C02" w:rsidRDefault="004D6C02" w:rsidP="00FE02B4">
            <w:pPr>
              <w:pStyle w:val="NormalWeb"/>
              <w:spacing w:before="0" w:beforeAutospacing="0" w:after="0" w:afterAutospacing="0" w:line="276" w:lineRule="auto"/>
              <w:jc w:val="both"/>
              <w:rPr>
                <w:color w:val="000000"/>
              </w:rPr>
            </w:pPr>
            <w:r>
              <w:rPr>
                <w:color w:val="000000"/>
              </w:rPr>
              <w:t>Recommandations :</w:t>
            </w:r>
          </w:p>
          <w:p w14:paraId="41398AD7" w14:textId="77777777" w:rsidR="00341970" w:rsidRDefault="00341970" w:rsidP="00FE02B4">
            <w:pPr>
              <w:pStyle w:val="NormalWeb"/>
              <w:spacing w:before="0" w:beforeAutospacing="0" w:after="0" w:afterAutospacing="0" w:line="276" w:lineRule="auto"/>
              <w:jc w:val="both"/>
              <w:rPr>
                <w:color w:val="000000"/>
              </w:rPr>
            </w:pPr>
          </w:p>
          <w:p w14:paraId="26752753" w14:textId="77777777" w:rsidR="004D6C02" w:rsidRDefault="004D6C02" w:rsidP="00FE02B4">
            <w:pPr>
              <w:pStyle w:val="NormalWeb"/>
              <w:numPr>
                <w:ilvl w:val="0"/>
                <w:numId w:val="33"/>
              </w:numPr>
              <w:spacing w:before="0" w:beforeAutospacing="0" w:after="0" w:afterAutospacing="0" w:line="276" w:lineRule="auto"/>
              <w:jc w:val="both"/>
              <w:rPr>
                <w:color w:val="000000"/>
              </w:rPr>
            </w:pPr>
            <w:r>
              <w:rPr>
                <w:color w:val="000000"/>
              </w:rPr>
              <w:t>Inviter l’État à r</w:t>
            </w:r>
            <w:r w:rsidRPr="004D6C02">
              <w:rPr>
                <w:color w:val="000000"/>
              </w:rPr>
              <w:t>enoncer à tout projet visant à réinstaurer la peine capitale ;</w:t>
            </w:r>
          </w:p>
          <w:p w14:paraId="5459033D" w14:textId="77777777" w:rsidR="004D6C02" w:rsidRDefault="004D6C02" w:rsidP="00A013EE">
            <w:pPr>
              <w:pStyle w:val="NormalWeb"/>
              <w:numPr>
                <w:ilvl w:val="0"/>
                <w:numId w:val="33"/>
              </w:numPr>
              <w:spacing w:before="0" w:beforeAutospacing="0" w:after="0" w:afterAutospacing="0" w:line="276" w:lineRule="auto"/>
              <w:jc w:val="both"/>
              <w:rPr>
                <w:color w:val="000000"/>
              </w:rPr>
            </w:pPr>
            <w:r w:rsidRPr="004D6C02">
              <w:rPr>
                <w:color w:val="000000"/>
              </w:rPr>
              <w:t xml:space="preserve">Ratifier </w:t>
            </w:r>
            <w:r>
              <w:rPr>
                <w:color w:val="000000"/>
              </w:rPr>
              <w:t>le deuxième Protocole facultatif se rapportant au Pacte International relatif aux Droits Civils et Politiques pour l’abolition de la peine de mort.</w:t>
            </w:r>
          </w:p>
          <w:p w14:paraId="7A83077A" w14:textId="1F1C51FF" w:rsidR="00341970" w:rsidRPr="004D6C02" w:rsidRDefault="00341970" w:rsidP="00A013EE">
            <w:pPr>
              <w:pStyle w:val="NormalWeb"/>
              <w:numPr>
                <w:ilvl w:val="0"/>
                <w:numId w:val="33"/>
              </w:numPr>
              <w:spacing w:before="0" w:beforeAutospacing="0" w:after="0" w:afterAutospacing="0" w:line="276" w:lineRule="auto"/>
              <w:jc w:val="both"/>
              <w:rPr>
                <w:color w:val="000000"/>
              </w:rPr>
            </w:pPr>
          </w:p>
        </w:tc>
      </w:tr>
    </w:tbl>
    <w:p w14:paraId="13D178B4" w14:textId="77777777" w:rsidR="001A4F5C" w:rsidRDefault="001A4F5C" w:rsidP="001A4F5C">
      <w:pPr>
        <w:pStyle w:val="NormalWeb"/>
        <w:spacing w:before="0" w:beforeAutospacing="0" w:after="0" w:afterAutospacing="0" w:line="276" w:lineRule="auto"/>
        <w:rPr>
          <w:rStyle w:val="Strong"/>
          <w:rFonts w:eastAsiaTheme="majorEastAsia"/>
          <w:b w:val="0"/>
          <w:bCs w:val="0"/>
          <w:color w:val="000000"/>
        </w:rPr>
      </w:pPr>
    </w:p>
    <w:p w14:paraId="1D7EFF49" w14:textId="24D024E8" w:rsidR="00156341" w:rsidRDefault="00156341" w:rsidP="00156341">
      <w:pPr>
        <w:pStyle w:val="NormalWeb"/>
        <w:numPr>
          <w:ilvl w:val="0"/>
          <w:numId w:val="24"/>
        </w:numPr>
        <w:spacing w:before="0" w:beforeAutospacing="0" w:after="0" w:afterAutospacing="0" w:line="276" w:lineRule="auto"/>
        <w:rPr>
          <w:rStyle w:val="Strong"/>
          <w:rFonts w:eastAsiaTheme="majorEastAsia"/>
          <w:color w:val="000000"/>
        </w:rPr>
      </w:pPr>
      <w:r w:rsidRPr="001A4F5C">
        <w:rPr>
          <w:rStyle w:val="Strong"/>
          <w:rFonts w:eastAsiaTheme="majorEastAsia"/>
          <w:color w:val="000000"/>
        </w:rPr>
        <w:t xml:space="preserve">Allégations d’exécutions extrajudiciaires par les forces de l’ordre et de l’armée </w:t>
      </w:r>
    </w:p>
    <w:p w14:paraId="5F83E1AE" w14:textId="77777777" w:rsidR="00B32AD0" w:rsidRDefault="00B32AD0" w:rsidP="00B32AD0">
      <w:pPr>
        <w:pStyle w:val="NormalWeb"/>
        <w:spacing w:before="0" w:beforeAutospacing="0" w:after="0" w:afterAutospacing="0" w:line="276" w:lineRule="auto"/>
        <w:rPr>
          <w:rStyle w:val="Strong"/>
          <w:rFonts w:eastAsiaTheme="majorEastAsia"/>
          <w:color w:val="000000"/>
        </w:rPr>
      </w:pPr>
    </w:p>
    <w:p w14:paraId="0DFCD3C5" w14:textId="60F84238" w:rsidR="00B32AD0" w:rsidRPr="00A013EE" w:rsidRDefault="00B32AD0" w:rsidP="00A013EE">
      <w:pPr>
        <w:pStyle w:val="NormalWeb"/>
        <w:spacing w:before="0" w:beforeAutospacing="0" w:after="0" w:afterAutospacing="0" w:line="276" w:lineRule="auto"/>
        <w:jc w:val="both"/>
        <w:rPr>
          <w:rStyle w:val="Strong"/>
          <w:rFonts w:eastAsiaTheme="majorEastAsia"/>
          <w:color w:val="000000" w:themeColor="text1"/>
        </w:rPr>
      </w:pPr>
      <w:r w:rsidRPr="00A013EE">
        <w:rPr>
          <w:rStyle w:val="Strong"/>
          <w:rFonts w:eastAsiaTheme="majorEastAsia"/>
          <w:b w:val="0"/>
          <w:bCs w:val="0"/>
          <w:color w:val="000000" w:themeColor="text1"/>
        </w:rPr>
        <w:t>La LTDH a documenté la pendaison de 11 personnes par des militaires</w:t>
      </w:r>
      <w:r w:rsidR="007456FA" w:rsidRPr="00A013EE">
        <w:rPr>
          <w:rStyle w:val="Strong"/>
          <w:rFonts w:eastAsiaTheme="majorEastAsia"/>
          <w:b w:val="0"/>
          <w:bCs w:val="0"/>
          <w:color w:val="000000" w:themeColor="text1"/>
        </w:rPr>
        <w:t xml:space="preserve"> dans le village de </w:t>
      </w:r>
      <w:proofErr w:type="spellStart"/>
      <w:r w:rsidR="007456FA" w:rsidRPr="00A013EE">
        <w:rPr>
          <w:rStyle w:val="Strong"/>
          <w:rFonts w:eastAsiaTheme="majorEastAsia"/>
          <w:b w:val="0"/>
          <w:bCs w:val="0"/>
          <w:color w:val="000000" w:themeColor="text1"/>
        </w:rPr>
        <w:t>Barkar</w:t>
      </w:r>
      <w:r w:rsidR="009E33A4" w:rsidRPr="00A013EE">
        <w:rPr>
          <w:rStyle w:val="Strong"/>
          <w:rFonts w:eastAsiaTheme="majorEastAsia"/>
          <w:b w:val="0"/>
          <w:bCs w:val="0"/>
          <w:color w:val="000000" w:themeColor="text1"/>
        </w:rPr>
        <w:t>om</w:t>
      </w:r>
      <w:proofErr w:type="spellEnd"/>
      <w:r w:rsidR="009E33A4" w:rsidRPr="00A013EE">
        <w:rPr>
          <w:rStyle w:val="Strong"/>
          <w:rFonts w:eastAsiaTheme="majorEastAsia"/>
          <w:b w:val="0"/>
          <w:bCs w:val="0"/>
          <w:color w:val="000000" w:themeColor="text1"/>
        </w:rPr>
        <w:t>/Province du Lac en date du 22 janvier 2023. L</w:t>
      </w:r>
      <w:r w:rsidR="00EF6F39" w:rsidRPr="00A013EE">
        <w:rPr>
          <w:rStyle w:val="Strong"/>
          <w:rFonts w:eastAsiaTheme="majorEastAsia"/>
          <w:b w:val="0"/>
          <w:bCs w:val="0"/>
          <w:color w:val="000000" w:themeColor="text1"/>
        </w:rPr>
        <w:t xml:space="preserve">es </w:t>
      </w:r>
      <w:r w:rsidR="00EF6F39" w:rsidRPr="00A013EE">
        <w:rPr>
          <w:color w:val="000000" w:themeColor="text1"/>
          <w:shd w:val="clear" w:color="auto" w:fill="FFFFFF"/>
        </w:rPr>
        <w:t>corps ayant été enterrés clandestinement dans un charnier</w:t>
      </w:r>
      <w:r w:rsidR="00EF6F39" w:rsidRPr="00A013EE">
        <w:rPr>
          <w:rStyle w:val="Strong"/>
          <w:rFonts w:eastAsiaTheme="majorEastAsia"/>
          <w:b w:val="0"/>
          <w:bCs w:val="0"/>
          <w:color w:val="000000" w:themeColor="text1"/>
        </w:rPr>
        <w:t>. L</w:t>
      </w:r>
      <w:r w:rsidRPr="00A013EE">
        <w:rPr>
          <w:rStyle w:val="Strong"/>
          <w:rFonts w:eastAsiaTheme="majorEastAsia"/>
          <w:b w:val="0"/>
          <w:bCs w:val="0"/>
          <w:color w:val="000000" w:themeColor="text1"/>
        </w:rPr>
        <w:t>e</w:t>
      </w:r>
      <w:r w:rsidRPr="00A013EE">
        <w:rPr>
          <w:color w:val="000000" w:themeColor="text1"/>
          <w:shd w:val="clear" w:color="auto" w:fill="FFFFFF"/>
        </w:rPr>
        <w:t>s victimes avaient été arrêtées et ont subi des actes de torture pendant 17 jours de détention dans le camp militaire avant d’être exécutées. Depuis l’apparition du phénomène de Boko Haram dans la région, les forces de défense et de sécurité opérant dans la zone </w:t>
      </w:r>
      <w:r w:rsidRPr="00A013EE">
        <w:rPr>
          <w:rStyle w:val="Emphasis"/>
          <w:rFonts w:eastAsiaTheme="majorEastAsia"/>
          <w:i w:val="0"/>
          <w:iCs w:val="0"/>
          <w:color w:val="000000" w:themeColor="text1"/>
          <w:shd w:val="clear" w:color="auto" w:fill="FFFFFF"/>
        </w:rPr>
        <w:t xml:space="preserve">« soumettent la population civile à diverses exactions telles que des arrestations arbitraires, des détentions illégales, des tortures, des traitements inhumains et dégradants, des extorsions de biens, des exécutions sommaires et extrajudiciaires et des viols. Aucune enquête n’a été diligentée à ce jour sur </w:t>
      </w:r>
      <w:r w:rsidRPr="00A013EE">
        <w:rPr>
          <w:color w:val="000000" w:themeColor="text1"/>
          <w:shd w:val="clear" w:color="auto" w:fill="FFFFFF"/>
        </w:rPr>
        <w:t>ces exactions</w:t>
      </w:r>
      <w:r w:rsidRPr="00A013EE">
        <w:rPr>
          <w:rStyle w:val="Strong"/>
          <w:rFonts w:eastAsiaTheme="majorEastAsia"/>
          <w:b w:val="0"/>
          <w:bCs w:val="0"/>
          <w:color w:val="000000" w:themeColor="text1"/>
        </w:rPr>
        <w:t>.</w:t>
      </w:r>
      <w:r w:rsidRPr="00A013EE">
        <w:rPr>
          <w:rStyle w:val="FootnoteReference"/>
          <w:rFonts w:eastAsiaTheme="majorEastAsia"/>
          <w:color w:val="000000" w:themeColor="text1"/>
        </w:rPr>
        <w:footnoteReference w:id="5"/>
      </w:r>
      <w:r w:rsidRPr="00A013EE">
        <w:rPr>
          <w:rStyle w:val="Strong"/>
          <w:rFonts w:eastAsiaTheme="majorEastAsia"/>
          <w:b w:val="0"/>
          <w:bCs w:val="0"/>
          <w:color w:val="000000" w:themeColor="text1"/>
        </w:rPr>
        <w:t xml:space="preserve"> </w:t>
      </w:r>
    </w:p>
    <w:p w14:paraId="10DFB6DE" w14:textId="77777777" w:rsidR="00B32AD0" w:rsidRPr="001A4F5C" w:rsidRDefault="00B32AD0" w:rsidP="00A013EE">
      <w:pPr>
        <w:pStyle w:val="NormalWeb"/>
        <w:spacing w:before="0" w:beforeAutospacing="0" w:after="0" w:afterAutospacing="0" w:line="276" w:lineRule="auto"/>
        <w:rPr>
          <w:rStyle w:val="Strong"/>
          <w:rFonts w:eastAsiaTheme="majorEastAsia"/>
          <w:color w:val="000000"/>
        </w:rPr>
      </w:pPr>
    </w:p>
    <w:p w14:paraId="20C08B4B" w14:textId="288C18FC" w:rsidR="0053706A" w:rsidRDefault="00156341" w:rsidP="0053706A">
      <w:pPr>
        <w:pStyle w:val="NormalWeb"/>
        <w:numPr>
          <w:ilvl w:val="0"/>
          <w:numId w:val="24"/>
        </w:numPr>
        <w:spacing w:before="0" w:beforeAutospacing="0" w:after="0" w:afterAutospacing="0" w:line="276" w:lineRule="auto"/>
        <w:rPr>
          <w:rStyle w:val="Strong"/>
          <w:rFonts w:eastAsiaTheme="majorEastAsia"/>
          <w:color w:val="000000"/>
        </w:rPr>
      </w:pPr>
      <w:r w:rsidRPr="001A4F5C">
        <w:rPr>
          <w:rStyle w:val="Strong"/>
          <w:rFonts w:eastAsiaTheme="majorEastAsia"/>
          <w:color w:val="000000"/>
        </w:rPr>
        <w:t>Usage excessif de la force par les forces de l’ordre </w:t>
      </w:r>
    </w:p>
    <w:p w14:paraId="7F0A06CA" w14:textId="77777777" w:rsidR="0053706A" w:rsidRDefault="0053706A" w:rsidP="0053706A">
      <w:pPr>
        <w:pStyle w:val="NormalWeb"/>
        <w:spacing w:before="0" w:beforeAutospacing="0" w:after="0" w:afterAutospacing="0" w:line="276" w:lineRule="auto"/>
        <w:rPr>
          <w:rStyle w:val="Strong"/>
          <w:rFonts w:eastAsiaTheme="majorEastAsia"/>
          <w:color w:val="000000"/>
        </w:rPr>
      </w:pPr>
    </w:p>
    <w:p w14:paraId="6735D87A" w14:textId="77777777" w:rsidR="0053706A" w:rsidRDefault="0053706A" w:rsidP="0053706A">
      <w:pPr>
        <w:jc w:val="both"/>
        <w:rPr>
          <w:color w:val="000000"/>
        </w:rPr>
      </w:pPr>
      <w:r>
        <w:rPr>
          <w:color w:val="000000"/>
        </w:rPr>
        <w:t>La répression des manifestations pacifiques par un recours excessif à la force armée répond à une doctrine policière, voire militaire, ancrée dans un appareil sécuritaire habitué à la violence. Il s’appuie sur des unités spéciales de la police telles que le Groupement d’intervention de la police (GMIP), et d’autres forces de défense et de sécurité comme la Garde nationale et nomade du Tchad (GNNT). Le régime mobilise également l’armée et les services de renseignement (ANS) lors d’opérations de maintien de l’ordre. Ce recours systématique aux forces de l’ordre et de renseignement explique la réponse brutale faite aux manifestations pacifiques mais aussi l’absence de responsabilité.</w:t>
      </w:r>
    </w:p>
    <w:p w14:paraId="17BEB62F" w14:textId="77777777" w:rsidR="0053706A" w:rsidRDefault="0053706A" w:rsidP="0053706A">
      <w:pPr>
        <w:pBdr>
          <w:top w:val="nil"/>
          <w:left w:val="nil"/>
          <w:bottom w:val="nil"/>
          <w:right w:val="nil"/>
          <w:between w:val="nil"/>
        </w:pBdr>
        <w:jc w:val="both"/>
      </w:pPr>
    </w:p>
    <w:p w14:paraId="0A5FF834" w14:textId="77777777" w:rsidR="0053706A" w:rsidRDefault="0053706A" w:rsidP="0053706A">
      <w:pPr>
        <w:pBdr>
          <w:top w:val="nil"/>
          <w:left w:val="nil"/>
          <w:bottom w:val="nil"/>
          <w:right w:val="nil"/>
          <w:between w:val="nil"/>
        </w:pBdr>
        <w:jc w:val="both"/>
        <w:rPr>
          <w:color w:val="000000"/>
        </w:rPr>
      </w:pPr>
      <w:r>
        <w:rPr>
          <w:color w:val="000000"/>
        </w:rPr>
        <w:t>Depuis 2018, le pays n’a cessé d’utiliser la force de manière disproportionnée contre les manifestants pacifiques, les défenseurs des droits humains, les partis politiques de l’opposition et les syndicats. Les manifestations du printemps 2021 et de l’automne 2022 ont été marquées par de multiples allégations d’usage excessif de la force par les forces de l’ordre entrainant en octobre 2022 la mort de plus de 218 personnes, des milliers d’arrestations, des dizaines de cas de torture</w:t>
      </w:r>
      <w:r>
        <w:t>, au moins</w:t>
      </w:r>
      <w:r>
        <w:rPr>
          <w:color w:val="000000"/>
        </w:rPr>
        <w:t xml:space="preserve"> </w:t>
      </w:r>
      <w:r>
        <w:t>40</w:t>
      </w:r>
      <w:r>
        <w:rPr>
          <w:color w:val="000000"/>
        </w:rPr>
        <w:t xml:space="preserve"> disparitions forcées et plusieurs centaines de blessés. </w:t>
      </w:r>
    </w:p>
    <w:p w14:paraId="23448CEB" w14:textId="77777777" w:rsidR="0053706A" w:rsidRDefault="0053706A" w:rsidP="0053706A">
      <w:pPr>
        <w:pBdr>
          <w:top w:val="nil"/>
          <w:left w:val="nil"/>
          <w:bottom w:val="nil"/>
          <w:right w:val="nil"/>
          <w:between w:val="nil"/>
        </w:pBdr>
        <w:jc w:val="both"/>
        <w:rPr>
          <w:color w:val="000000"/>
        </w:rPr>
      </w:pPr>
    </w:p>
    <w:p w14:paraId="1EC18F2D" w14:textId="77777777" w:rsidR="0053706A" w:rsidRDefault="0053706A" w:rsidP="0053706A">
      <w:pPr>
        <w:pBdr>
          <w:top w:val="nil"/>
          <w:left w:val="nil"/>
          <w:bottom w:val="nil"/>
          <w:right w:val="nil"/>
          <w:between w:val="nil"/>
        </w:pBdr>
        <w:jc w:val="both"/>
        <w:rPr>
          <w:color w:val="000000"/>
        </w:rPr>
      </w:pPr>
      <w:r>
        <w:rPr>
          <w:color w:val="000000"/>
        </w:rPr>
        <w:t>Le Comité contre la torture a établi en 2022 que le Code de déontologie de la police du 15 juin 2016</w:t>
      </w:r>
      <w:r>
        <w:rPr>
          <w:color w:val="000000"/>
          <w:vertAlign w:val="superscript"/>
        </w:rPr>
        <w:footnoteReference w:id="6"/>
      </w:r>
      <w:r>
        <w:rPr>
          <w:color w:val="000000"/>
        </w:rPr>
        <w:t>, ne suffit pas à encadrer le recours à la force en conformité avec les standards internationaux</w:t>
      </w:r>
      <w:r>
        <w:rPr>
          <w:color w:val="000000"/>
          <w:vertAlign w:val="superscript"/>
        </w:rPr>
        <w:footnoteReference w:id="7"/>
      </w:r>
      <w:r>
        <w:rPr>
          <w:color w:val="000000"/>
        </w:rPr>
        <w:t>. Plusieurs rapports, dont celui publié par l’OMCT et la LTDH</w:t>
      </w:r>
      <w:r>
        <w:rPr>
          <w:color w:val="000000"/>
          <w:vertAlign w:val="superscript"/>
        </w:rPr>
        <w:footnoteReference w:id="8"/>
      </w:r>
      <w:r>
        <w:rPr>
          <w:color w:val="000000"/>
        </w:rPr>
        <w:t>, indiquent des blessures graves infligées à des manifestants pacifiques, y compris par l’utilisation de gaz lacrymogène, de balles en caoutchouc et de dispositifs sonores de dispersion. En outre, des arrestations massives ont eu lieu sans base légale claire, accompagnées d’allégations de</w:t>
      </w:r>
      <w:r>
        <w:t xml:space="preserve"> </w:t>
      </w:r>
      <w:r>
        <w:rPr>
          <w:color w:val="000000"/>
        </w:rPr>
        <w:t>traitements inhumains.</w:t>
      </w:r>
    </w:p>
    <w:p w14:paraId="05E61173" w14:textId="77777777" w:rsidR="0053706A" w:rsidRDefault="0053706A" w:rsidP="0053706A">
      <w:pPr>
        <w:pBdr>
          <w:top w:val="nil"/>
          <w:left w:val="nil"/>
          <w:bottom w:val="nil"/>
          <w:right w:val="nil"/>
          <w:between w:val="nil"/>
        </w:pBdr>
        <w:jc w:val="both"/>
        <w:rPr>
          <w:color w:val="000000"/>
        </w:rPr>
      </w:pPr>
    </w:p>
    <w:tbl>
      <w:tblPr>
        <w:tblStyle w:val="TableGrid"/>
        <w:tblW w:w="0" w:type="auto"/>
        <w:tblLook w:val="04A0" w:firstRow="1" w:lastRow="0" w:firstColumn="1" w:lastColumn="0" w:noHBand="0" w:noVBand="1"/>
      </w:tblPr>
      <w:tblGrid>
        <w:gridCol w:w="9062"/>
      </w:tblGrid>
      <w:tr w:rsidR="0053706A" w14:paraId="1A65A132" w14:textId="77777777" w:rsidTr="0053706A">
        <w:tc>
          <w:tcPr>
            <w:tcW w:w="9062" w:type="dxa"/>
          </w:tcPr>
          <w:p w14:paraId="10172F84" w14:textId="77777777" w:rsidR="0053706A" w:rsidRDefault="0053706A" w:rsidP="0053706A">
            <w:pPr>
              <w:pBdr>
                <w:top w:val="nil"/>
                <w:left w:val="nil"/>
                <w:bottom w:val="nil"/>
                <w:right w:val="nil"/>
                <w:between w:val="nil"/>
              </w:pBdr>
              <w:jc w:val="both"/>
              <w:rPr>
                <w:color w:val="000000"/>
              </w:rPr>
            </w:pPr>
            <w:r>
              <w:rPr>
                <w:color w:val="000000"/>
              </w:rPr>
              <w:t>Recommandations :</w:t>
            </w:r>
          </w:p>
          <w:p w14:paraId="6486A415" w14:textId="77777777" w:rsidR="0053706A" w:rsidRPr="0003607D" w:rsidRDefault="0053706A" w:rsidP="0053706A">
            <w:pPr>
              <w:pStyle w:val="NormalWeb"/>
              <w:numPr>
                <w:ilvl w:val="1"/>
                <w:numId w:val="1"/>
              </w:numPr>
              <w:spacing w:line="276" w:lineRule="auto"/>
              <w:jc w:val="both"/>
              <w:rPr>
                <w:color w:val="000000"/>
              </w:rPr>
            </w:pPr>
            <w:r w:rsidRPr="0003607D">
              <w:rPr>
                <w:color w:val="000000"/>
              </w:rPr>
              <w:t>Adopter et appliquer des protocoles stricts sur l’usage de la force conformément aux normes internationales, notamment les Principes de base des Nations Unies sur le recours à la force et l’utilisation des armes à feu par les responsables de l’application des lois.</w:t>
            </w:r>
          </w:p>
          <w:p w14:paraId="1C519E43" w14:textId="77777777" w:rsidR="0053706A" w:rsidRPr="0003607D" w:rsidRDefault="0053706A" w:rsidP="0053706A">
            <w:pPr>
              <w:pStyle w:val="NormalWeb"/>
              <w:numPr>
                <w:ilvl w:val="1"/>
                <w:numId w:val="1"/>
              </w:numPr>
              <w:spacing w:line="276" w:lineRule="auto"/>
              <w:jc w:val="both"/>
              <w:rPr>
                <w:color w:val="000000"/>
              </w:rPr>
            </w:pPr>
            <w:r w:rsidRPr="0003607D">
              <w:rPr>
                <w:color w:val="000000"/>
              </w:rPr>
              <w:t>Renforcer la formation des forces de l’ordre sur le maintien de l’ordre de manière proportionnée et respectueuse des droits de l’homme.</w:t>
            </w:r>
          </w:p>
          <w:p w14:paraId="023121A6" w14:textId="77777777" w:rsidR="0053706A" w:rsidRPr="0003607D" w:rsidRDefault="0053706A" w:rsidP="0053706A">
            <w:pPr>
              <w:pStyle w:val="NormalWeb"/>
              <w:numPr>
                <w:ilvl w:val="1"/>
                <w:numId w:val="1"/>
              </w:numPr>
              <w:spacing w:before="0" w:beforeAutospacing="0" w:after="0" w:afterAutospacing="0" w:line="276" w:lineRule="auto"/>
              <w:jc w:val="both"/>
              <w:rPr>
                <w:color w:val="000000"/>
              </w:rPr>
            </w:pPr>
            <w:r w:rsidRPr="0003607D">
              <w:rPr>
                <w:color w:val="000000"/>
              </w:rPr>
              <w:t>Mettre en place un mécanisme indépendant et transparent pour enquêter sur les allégations d’abus.</w:t>
            </w:r>
          </w:p>
          <w:p w14:paraId="18F8C336" w14:textId="77777777" w:rsidR="0053706A" w:rsidRDefault="0053706A" w:rsidP="0053706A">
            <w:pPr>
              <w:jc w:val="both"/>
              <w:rPr>
                <w:color w:val="000000"/>
              </w:rPr>
            </w:pPr>
          </w:p>
        </w:tc>
      </w:tr>
    </w:tbl>
    <w:p w14:paraId="7D9DC6B3" w14:textId="77777777" w:rsidR="0053706A" w:rsidRDefault="0053706A" w:rsidP="0053706A">
      <w:pPr>
        <w:pBdr>
          <w:top w:val="nil"/>
          <w:left w:val="nil"/>
          <w:bottom w:val="nil"/>
          <w:right w:val="nil"/>
          <w:between w:val="nil"/>
        </w:pBdr>
        <w:jc w:val="both"/>
        <w:rPr>
          <w:color w:val="000000"/>
        </w:rPr>
      </w:pPr>
    </w:p>
    <w:p w14:paraId="6B1DE90C" w14:textId="0359BCBC" w:rsidR="0040350F" w:rsidRPr="0003607D" w:rsidRDefault="0040350F" w:rsidP="0040350F">
      <w:pPr>
        <w:spacing w:before="100" w:beforeAutospacing="1" w:after="100" w:afterAutospacing="1" w:line="276" w:lineRule="auto"/>
        <w:jc w:val="both"/>
        <w:rPr>
          <w:color w:val="000000"/>
        </w:rPr>
      </w:pPr>
      <w:r w:rsidRPr="0003607D">
        <w:rPr>
          <w:color w:val="000000"/>
        </w:rPr>
        <w:t>Malgré l'adoption d'une nouvelle constitution garantissant l'interdiction absolue de la torture, les enquêtes sur ces événements n'ont pas encore abouti, et les responsables n'ont pas été identifiés ni sanctionnés</w:t>
      </w:r>
      <w:r w:rsidR="002A7AB2">
        <w:rPr>
          <w:color w:val="000000"/>
        </w:rPr>
        <w:t>, plus de trois ans après les faits</w:t>
      </w:r>
      <w:r w:rsidRPr="0003607D">
        <w:rPr>
          <w:rStyle w:val="FootnoteReference"/>
          <w:color w:val="000000"/>
        </w:rPr>
        <w:footnoteReference w:id="9"/>
      </w:r>
      <w:r w:rsidRPr="0003607D">
        <w:rPr>
          <w:color w:val="000000"/>
        </w:rPr>
        <w:t>. </w:t>
      </w:r>
    </w:p>
    <w:p w14:paraId="758267D1" w14:textId="77777777" w:rsidR="0040350F" w:rsidRPr="00264799" w:rsidRDefault="0040350F" w:rsidP="0040350F">
      <w:pPr>
        <w:pStyle w:val="Heading3"/>
        <w:numPr>
          <w:ilvl w:val="2"/>
          <w:numId w:val="1"/>
        </w:numPr>
        <w:spacing w:line="276" w:lineRule="auto"/>
        <w:rPr>
          <w:rFonts w:cs="Times New Roman"/>
          <w:color w:val="000000"/>
          <w:sz w:val="24"/>
          <w:szCs w:val="24"/>
        </w:rPr>
      </w:pPr>
      <w:r w:rsidRPr="00264799">
        <w:rPr>
          <w:rStyle w:val="Strong"/>
          <w:rFonts w:cs="Times New Roman"/>
          <w:color w:val="000000"/>
          <w:sz w:val="24"/>
          <w:szCs w:val="24"/>
        </w:rPr>
        <w:t>Absence d’enquêtes effectives</w:t>
      </w:r>
    </w:p>
    <w:p w14:paraId="26D5C3E0" w14:textId="77777777" w:rsidR="0040350F" w:rsidRPr="0003607D" w:rsidRDefault="0040350F" w:rsidP="0040350F">
      <w:pPr>
        <w:pStyle w:val="NormalWeb"/>
        <w:spacing w:before="0" w:beforeAutospacing="0" w:after="0" w:afterAutospacing="0" w:line="276" w:lineRule="auto"/>
        <w:jc w:val="both"/>
        <w:rPr>
          <w:color w:val="000000"/>
        </w:rPr>
      </w:pPr>
      <w:r w:rsidRPr="0003607D">
        <w:rPr>
          <w:color w:val="000000"/>
        </w:rPr>
        <w:t>Les efforts pour mener des enquêtes et rendre justice ont été largement perçus comme insuffisants :</w:t>
      </w:r>
    </w:p>
    <w:p w14:paraId="71C82118" w14:textId="77777777" w:rsidR="0040350F" w:rsidRPr="0003607D" w:rsidRDefault="0040350F" w:rsidP="0040350F">
      <w:pPr>
        <w:numPr>
          <w:ilvl w:val="0"/>
          <w:numId w:val="9"/>
        </w:numPr>
        <w:spacing w:before="100" w:beforeAutospacing="1" w:after="100" w:afterAutospacing="1" w:line="276" w:lineRule="auto"/>
        <w:jc w:val="both"/>
        <w:rPr>
          <w:color w:val="000000"/>
        </w:rPr>
      </w:pPr>
      <w:r w:rsidRPr="0003607D">
        <w:rPr>
          <w:rStyle w:val="Strong"/>
          <w:rFonts w:eastAsiaTheme="majorEastAsia"/>
          <w:color w:val="000000"/>
        </w:rPr>
        <w:lastRenderedPageBreak/>
        <w:t>Enquêtes biaisées ou inexistantes :</w:t>
      </w:r>
      <w:r w:rsidRPr="0003607D">
        <w:rPr>
          <w:rStyle w:val="apple-converted-space"/>
          <w:rFonts w:eastAsiaTheme="majorEastAsia"/>
          <w:color w:val="000000"/>
        </w:rPr>
        <w:t> </w:t>
      </w:r>
      <w:r w:rsidRPr="0003607D">
        <w:rPr>
          <w:color w:val="000000"/>
        </w:rPr>
        <w:t>Les autorités tchadiennes ont promis des enquêtes après les violences d’octobre 2022, mais celles-ci n’ont pas été menées de manière transparente ou indépendante.</w:t>
      </w:r>
    </w:p>
    <w:p w14:paraId="25AA82D1" w14:textId="77777777" w:rsidR="0040350F" w:rsidRPr="0003607D" w:rsidRDefault="0040350F" w:rsidP="0040350F">
      <w:pPr>
        <w:numPr>
          <w:ilvl w:val="0"/>
          <w:numId w:val="9"/>
        </w:numPr>
        <w:spacing w:before="100" w:beforeAutospacing="1" w:after="100" w:afterAutospacing="1" w:line="276" w:lineRule="auto"/>
        <w:jc w:val="both"/>
        <w:rPr>
          <w:color w:val="000000"/>
        </w:rPr>
      </w:pPr>
      <w:r w:rsidRPr="0003607D">
        <w:rPr>
          <w:rStyle w:val="Strong"/>
          <w:rFonts w:eastAsiaTheme="majorEastAsia"/>
          <w:color w:val="000000"/>
        </w:rPr>
        <w:t>Réparations absentes :</w:t>
      </w:r>
      <w:r w:rsidRPr="0003607D">
        <w:rPr>
          <w:rStyle w:val="apple-converted-space"/>
          <w:rFonts w:eastAsiaTheme="majorEastAsia"/>
          <w:color w:val="000000"/>
        </w:rPr>
        <w:t> </w:t>
      </w:r>
      <w:r w:rsidRPr="0003607D">
        <w:rPr>
          <w:color w:val="000000"/>
        </w:rPr>
        <w:t>Les familles des victimes de la répression meurtrière n'ont pas reçu d'indemnisation adéquate.</w:t>
      </w:r>
    </w:p>
    <w:p w14:paraId="19695163" w14:textId="77777777" w:rsidR="0040350F" w:rsidRDefault="0040350F" w:rsidP="0040350F">
      <w:pPr>
        <w:numPr>
          <w:ilvl w:val="0"/>
          <w:numId w:val="9"/>
        </w:numPr>
        <w:spacing w:before="100" w:beforeAutospacing="1" w:after="100" w:afterAutospacing="1" w:line="276" w:lineRule="auto"/>
        <w:jc w:val="both"/>
        <w:rPr>
          <w:color w:val="000000"/>
        </w:rPr>
      </w:pPr>
      <w:r w:rsidRPr="0003607D">
        <w:rPr>
          <w:rStyle w:val="Strong"/>
          <w:rFonts w:eastAsiaTheme="majorEastAsia"/>
          <w:color w:val="000000"/>
        </w:rPr>
        <w:t>Système judiciaire inefficace :</w:t>
      </w:r>
      <w:r w:rsidRPr="0003607D">
        <w:rPr>
          <w:rStyle w:val="apple-converted-space"/>
          <w:rFonts w:eastAsiaTheme="majorEastAsia"/>
          <w:color w:val="000000"/>
        </w:rPr>
        <w:t> </w:t>
      </w:r>
      <w:r w:rsidRPr="0003607D">
        <w:rPr>
          <w:color w:val="000000"/>
        </w:rPr>
        <w:t>Des rapports dénoncent des procureurs influencés par des pressions politiques et un manque de moyens pour enquêter sur les abus des forces de l'ordre.</w:t>
      </w:r>
    </w:p>
    <w:p w14:paraId="20B8487B" w14:textId="77777777" w:rsidR="00AE4A03" w:rsidRPr="00A013EE" w:rsidRDefault="00AE4A03" w:rsidP="00A013EE">
      <w:pPr>
        <w:pStyle w:val="ListParagraph"/>
        <w:numPr>
          <w:ilvl w:val="2"/>
          <w:numId w:val="1"/>
        </w:numPr>
        <w:rPr>
          <w:b/>
          <w:bCs/>
          <w:lang w:val="fr-FR" w:eastAsia="fr-FR"/>
        </w:rPr>
      </w:pPr>
      <w:r w:rsidRPr="00A013EE">
        <w:rPr>
          <w:b/>
          <w:bCs/>
          <w:lang w:val="fr-FR" w:eastAsia="fr-FR"/>
        </w:rPr>
        <w:t>Enquête diligentée par la CEEAC sur les événements d’octobre 2022</w:t>
      </w:r>
    </w:p>
    <w:p w14:paraId="58C1485C" w14:textId="77777777" w:rsidR="00AE4A03" w:rsidRPr="00A013EE" w:rsidRDefault="00AE4A03" w:rsidP="00AE4A03">
      <w:pPr>
        <w:spacing w:before="100" w:beforeAutospacing="1" w:after="100" w:afterAutospacing="1"/>
        <w:jc w:val="both"/>
        <w:rPr>
          <w:color w:val="000000" w:themeColor="text1"/>
          <w:lang w:val="fr-FR" w:eastAsia="fr-FR"/>
        </w:rPr>
      </w:pPr>
      <w:r w:rsidRPr="00A013EE">
        <w:rPr>
          <w:color w:val="000000" w:themeColor="text1"/>
          <w:lang w:val="fr-FR" w:eastAsia="fr-FR"/>
        </w:rPr>
        <w:t xml:space="preserve">À la suite de la répression des manifestations du 20 octobre 2022, la </w:t>
      </w:r>
      <w:r w:rsidRPr="00A013EE">
        <w:rPr>
          <w:bCs/>
          <w:color w:val="000000" w:themeColor="text1"/>
          <w:lang w:val="fr-FR" w:eastAsia="fr-FR"/>
        </w:rPr>
        <w:t>Communauté économique des États de l’Afrique centrale</w:t>
      </w:r>
      <w:r w:rsidRPr="00A013EE">
        <w:rPr>
          <w:b/>
          <w:bCs/>
          <w:color w:val="000000" w:themeColor="text1"/>
          <w:lang w:val="fr-FR" w:eastAsia="fr-FR"/>
        </w:rPr>
        <w:t xml:space="preserve"> (CEEAC)</w:t>
      </w:r>
      <w:r w:rsidRPr="00A013EE">
        <w:rPr>
          <w:color w:val="000000" w:themeColor="text1"/>
          <w:lang w:val="fr-FR" w:eastAsia="fr-FR"/>
        </w:rPr>
        <w:t xml:space="preserve">, sous l’égide de ses structures de facilitation du processus politique au Tchad, a été impliquée dans un </w:t>
      </w:r>
      <w:r w:rsidRPr="00A013EE">
        <w:rPr>
          <w:bCs/>
          <w:color w:val="000000" w:themeColor="text1"/>
          <w:lang w:val="fr-FR" w:eastAsia="fr-FR"/>
        </w:rPr>
        <w:t>mécanisme régional de dialogue et d’enquête</w:t>
      </w:r>
      <w:r w:rsidRPr="00A013EE">
        <w:rPr>
          <w:color w:val="000000" w:themeColor="text1"/>
          <w:lang w:val="fr-FR" w:eastAsia="fr-FR"/>
        </w:rPr>
        <w:t xml:space="preserve">, visant à établir les faits liés à la crise et à encourager une issue pacifique et inclusive de la transition. </w:t>
      </w:r>
    </w:p>
    <w:p w14:paraId="0A01DBAC" w14:textId="43FB455B" w:rsidR="00AE4A03" w:rsidRPr="00A013EE" w:rsidRDefault="00C86A06" w:rsidP="00AE4A03">
      <w:pPr>
        <w:spacing w:before="100" w:beforeAutospacing="1" w:after="100" w:afterAutospacing="1"/>
        <w:jc w:val="both"/>
        <w:rPr>
          <w:color w:val="000000" w:themeColor="text1"/>
          <w:lang w:val="fr-FR" w:eastAsia="fr-FR"/>
        </w:rPr>
      </w:pPr>
      <w:r>
        <w:rPr>
          <w:color w:val="000000" w:themeColor="text1"/>
          <w:lang w:val="fr-FR" w:eastAsia="fr-FR"/>
        </w:rPr>
        <w:t>Dans un communiqué du 25 février 2023</w:t>
      </w:r>
      <w:r w:rsidR="00AE4A03" w:rsidRPr="00A013EE">
        <w:rPr>
          <w:color w:val="000000" w:themeColor="text1"/>
          <w:lang w:val="fr-FR" w:eastAsia="fr-FR"/>
        </w:rPr>
        <w:t xml:space="preserve">, la CEEAC a </w:t>
      </w:r>
      <w:r w:rsidR="00AE4A03" w:rsidRPr="00A013EE">
        <w:rPr>
          <w:bCs/>
          <w:color w:val="000000" w:themeColor="text1"/>
          <w:lang w:val="fr-FR" w:eastAsia="fr-FR"/>
        </w:rPr>
        <w:t>pris note du rapport d’étape sur la facilitation et du travail d’établissement des faits sur les événements du 20 octobre</w:t>
      </w:r>
      <w:r>
        <w:rPr>
          <w:bCs/>
          <w:color w:val="000000" w:themeColor="text1"/>
          <w:lang w:val="fr-FR" w:eastAsia="fr-FR"/>
        </w:rPr>
        <w:t xml:space="preserve"> 2022</w:t>
      </w:r>
      <w:r w:rsidR="00AE4A03" w:rsidRPr="00A013EE">
        <w:rPr>
          <w:color w:val="000000" w:themeColor="text1"/>
          <w:lang w:val="fr-FR" w:eastAsia="fr-FR"/>
        </w:rPr>
        <w:t>, soulignant l’implication du facilitateur désigné</w:t>
      </w:r>
      <w:r>
        <w:rPr>
          <w:color w:val="000000" w:themeColor="text1"/>
          <w:lang w:val="fr-FR" w:eastAsia="fr-FR"/>
        </w:rPr>
        <w:t xml:space="preserve">, </w:t>
      </w:r>
      <w:r>
        <w:t>Félix TSHISEKEDI TSHILOMBO, président de la République Démocratique du Congo</w:t>
      </w:r>
      <w:r w:rsidR="00AE4A03" w:rsidRPr="00A013EE">
        <w:rPr>
          <w:color w:val="000000" w:themeColor="text1"/>
          <w:lang w:val="fr-FR" w:eastAsia="fr-FR"/>
        </w:rPr>
        <w:t xml:space="preserve"> et de ses envoyés spéciaux dans ce processus.</w:t>
      </w:r>
      <w:r w:rsidRPr="00A013EE">
        <w:rPr>
          <w:rStyle w:val="FootnoteReference"/>
          <w:color w:val="000000" w:themeColor="text1"/>
          <w:lang w:val="fr-FR" w:eastAsia="fr-FR"/>
        </w:rPr>
        <w:footnoteReference w:id="10"/>
      </w:r>
      <w:r w:rsidR="00AE4A03" w:rsidRPr="00A013EE">
        <w:rPr>
          <w:color w:val="000000" w:themeColor="text1"/>
          <w:lang w:val="fr-FR" w:eastAsia="fr-FR"/>
        </w:rPr>
        <w:t xml:space="preserve"> La Conférence des chefs d’État et de gouvernement de la CEEAC a salué cette collaboration, tout en encourageant la poursuite du travail de facilitation et de mise en lumière de ces événements. </w:t>
      </w:r>
    </w:p>
    <w:p w14:paraId="21F9BAE6" w14:textId="2CAC8E71" w:rsidR="00AE4A03" w:rsidRPr="00BA08C6" w:rsidRDefault="00AE4A03" w:rsidP="00BA08C6">
      <w:pPr>
        <w:spacing w:before="100" w:beforeAutospacing="1" w:after="100" w:afterAutospacing="1"/>
        <w:jc w:val="both"/>
        <w:rPr>
          <w:lang w:val="fr-FR" w:eastAsia="fr-FR"/>
        </w:rPr>
      </w:pPr>
      <w:r w:rsidRPr="00A013EE">
        <w:rPr>
          <w:color w:val="000000" w:themeColor="text1"/>
          <w:lang w:val="fr-FR" w:eastAsia="fr-FR"/>
        </w:rPr>
        <w:t xml:space="preserve">Toutefois, à la date de publication de ce rapport, </w:t>
      </w:r>
      <w:r w:rsidRPr="00A013EE">
        <w:rPr>
          <w:bCs/>
          <w:color w:val="000000" w:themeColor="text1"/>
          <w:lang w:val="fr-FR" w:eastAsia="fr-FR"/>
        </w:rPr>
        <w:t>le rapport final d’enquête de la CEEAC n’a pas été rendu public</w:t>
      </w:r>
      <w:r w:rsidRPr="00A013EE">
        <w:rPr>
          <w:color w:val="000000" w:themeColor="text1"/>
          <w:lang w:val="fr-FR" w:eastAsia="fr-FR"/>
        </w:rPr>
        <w:t>, ce qui limite l’accès à des conclusions vérifiables et à une évaluation indépendante des faits. L’absence de publication officielle de ce rapport, malgré</w:t>
      </w:r>
      <w:r w:rsidRPr="00A013EE">
        <w:rPr>
          <w:color w:val="000000" w:themeColor="text1"/>
        </w:rPr>
        <w:t xml:space="preserve"> l’engagement annoncé de la CEEAC, </w:t>
      </w:r>
      <w:r w:rsidR="00C86A06">
        <w:rPr>
          <w:color w:val="000000" w:themeColor="text1"/>
        </w:rPr>
        <w:t>soulève des préoccupations quant à</w:t>
      </w:r>
      <w:r w:rsidRPr="00A013EE">
        <w:rPr>
          <w:color w:val="000000" w:themeColor="text1"/>
        </w:rPr>
        <w:t xml:space="preserve"> la transparence et à la responsabilité régionales face aux violations graves des droits humains.</w:t>
      </w:r>
    </w:p>
    <w:p w14:paraId="7864050C" w14:textId="77777777" w:rsidR="0040350F" w:rsidRPr="0003607D" w:rsidRDefault="0040350F" w:rsidP="0040350F">
      <w:pPr>
        <w:pStyle w:val="Heading3"/>
        <w:numPr>
          <w:ilvl w:val="2"/>
          <w:numId w:val="1"/>
        </w:numPr>
        <w:spacing w:line="276" w:lineRule="auto"/>
        <w:jc w:val="both"/>
        <w:rPr>
          <w:rStyle w:val="Strong"/>
          <w:rFonts w:cs="Times New Roman"/>
          <w:color w:val="000000"/>
          <w:sz w:val="24"/>
          <w:szCs w:val="24"/>
        </w:rPr>
      </w:pPr>
      <w:r w:rsidRPr="00264799">
        <w:rPr>
          <w:rStyle w:val="Strong"/>
          <w:rFonts w:cs="Times New Roman"/>
          <w:color w:val="000000"/>
          <w:sz w:val="24"/>
          <w:szCs w:val="24"/>
        </w:rPr>
        <w:t>Déroulement des procédures judiciaires contre les personnes ayant manifesté</w:t>
      </w:r>
    </w:p>
    <w:p w14:paraId="3022A581" w14:textId="77777777" w:rsidR="0040350F" w:rsidRPr="0003607D" w:rsidRDefault="0040350F" w:rsidP="0040350F">
      <w:pPr>
        <w:spacing w:line="276" w:lineRule="auto"/>
      </w:pPr>
    </w:p>
    <w:p w14:paraId="36F04B38" w14:textId="6CC69108" w:rsidR="0040350F" w:rsidRPr="00264799" w:rsidRDefault="0040350F" w:rsidP="00EA7DE6">
      <w:pPr>
        <w:spacing w:line="276" w:lineRule="auto"/>
        <w:jc w:val="both"/>
      </w:pPr>
      <w:r w:rsidRPr="0003607D">
        <w:t xml:space="preserve">Des dizaines de personnes ayant participé aux manifestations pacifiques </w:t>
      </w:r>
      <w:r>
        <w:t xml:space="preserve">d’octobre 2022 </w:t>
      </w:r>
      <w:r w:rsidRPr="0003607D">
        <w:t>ont fait l’objet de procédures judiciaires irrégulières ayant abouti pour la plupart à des condamnations à des peines de prisons fermes ou avec sursis.</w:t>
      </w:r>
    </w:p>
    <w:p w14:paraId="15E15E94" w14:textId="77777777" w:rsidR="0040350F" w:rsidRPr="0003607D" w:rsidRDefault="0040350F" w:rsidP="0040350F">
      <w:pPr>
        <w:pStyle w:val="NormalWeb"/>
        <w:numPr>
          <w:ilvl w:val="0"/>
          <w:numId w:val="11"/>
        </w:numPr>
        <w:spacing w:line="276" w:lineRule="auto"/>
        <w:rPr>
          <w:color w:val="000000"/>
        </w:rPr>
      </w:pPr>
      <w:r w:rsidRPr="0003607D">
        <w:rPr>
          <w:rStyle w:val="Strong"/>
          <w:rFonts w:eastAsiaTheme="majorEastAsia"/>
          <w:color w:val="000000"/>
        </w:rPr>
        <w:t>Absence de garanties légales :</w:t>
      </w:r>
      <w:r w:rsidRPr="0003607D">
        <w:rPr>
          <w:color w:val="000000"/>
        </w:rPr>
        <w:br/>
        <w:t>Les manifestants n’ont pas bénéficié d’un procès équitable :</w:t>
      </w:r>
    </w:p>
    <w:p w14:paraId="01F61EC6" w14:textId="77777777" w:rsidR="0040350F" w:rsidRPr="0003607D" w:rsidRDefault="0040350F" w:rsidP="0040350F">
      <w:pPr>
        <w:numPr>
          <w:ilvl w:val="1"/>
          <w:numId w:val="11"/>
        </w:numPr>
        <w:spacing w:before="100" w:beforeAutospacing="1" w:after="100" w:afterAutospacing="1" w:line="276" w:lineRule="auto"/>
        <w:rPr>
          <w:color w:val="000000"/>
        </w:rPr>
      </w:pPr>
      <w:r w:rsidRPr="0003607D">
        <w:rPr>
          <w:color w:val="000000"/>
        </w:rPr>
        <w:t>Aucun n’a eu accès à une défense juridique appropriée.</w:t>
      </w:r>
    </w:p>
    <w:p w14:paraId="5A073E96" w14:textId="77777777" w:rsidR="0040350F" w:rsidRPr="0003607D" w:rsidRDefault="0040350F" w:rsidP="0040350F">
      <w:pPr>
        <w:numPr>
          <w:ilvl w:val="1"/>
          <w:numId w:val="11"/>
        </w:numPr>
        <w:spacing w:before="100" w:beforeAutospacing="1" w:after="100" w:afterAutospacing="1" w:line="276" w:lineRule="auto"/>
        <w:rPr>
          <w:color w:val="000000"/>
        </w:rPr>
      </w:pPr>
      <w:r w:rsidRPr="0003607D">
        <w:rPr>
          <w:color w:val="000000"/>
        </w:rPr>
        <w:lastRenderedPageBreak/>
        <w:t>Procès expéditifs tenus dans des conditions opaques dans la prison de Koro Toro, prison de haute sécurité gérée par le gouvernement située à environ 600 kilomètres de N’Djamena.</w:t>
      </w:r>
    </w:p>
    <w:p w14:paraId="62F8E439" w14:textId="77777777" w:rsidR="0040350F" w:rsidRPr="00CC0705" w:rsidRDefault="0040350F" w:rsidP="0040350F">
      <w:pPr>
        <w:numPr>
          <w:ilvl w:val="1"/>
          <w:numId w:val="11"/>
        </w:numPr>
        <w:spacing w:line="276" w:lineRule="auto"/>
        <w:rPr>
          <w:color w:val="000000"/>
        </w:rPr>
      </w:pPr>
      <w:r w:rsidRPr="0003607D">
        <w:rPr>
          <w:color w:val="000000"/>
        </w:rPr>
        <w:t>Jugements rendus sans preuves tangibles ou vérifications indépendantes des accusations.</w:t>
      </w:r>
      <w:r w:rsidRPr="00CC0705">
        <w:rPr>
          <w:color w:val="000000"/>
        </w:rPr>
        <w:tab/>
      </w:r>
    </w:p>
    <w:p w14:paraId="0158467D" w14:textId="77777777" w:rsidR="0040350F" w:rsidRPr="0003607D" w:rsidRDefault="0040350F" w:rsidP="0040350F">
      <w:pPr>
        <w:pStyle w:val="NormalWeb"/>
        <w:numPr>
          <w:ilvl w:val="0"/>
          <w:numId w:val="11"/>
        </w:numPr>
        <w:spacing w:line="276" w:lineRule="auto"/>
        <w:rPr>
          <w:color w:val="000000"/>
        </w:rPr>
      </w:pPr>
      <w:r w:rsidRPr="0003607D">
        <w:rPr>
          <w:rStyle w:val="Strong"/>
          <w:rFonts w:eastAsiaTheme="majorEastAsia"/>
          <w:color w:val="000000"/>
        </w:rPr>
        <w:t>Condamnations massives :</w:t>
      </w:r>
      <w:r w:rsidRPr="0003607D">
        <w:rPr>
          <w:color w:val="000000"/>
        </w:rPr>
        <w:br/>
        <w:t>En novembre 2022, un tribunal spécial a prononcé :</w:t>
      </w:r>
    </w:p>
    <w:p w14:paraId="3294CC7A" w14:textId="77777777" w:rsidR="0040350F" w:rsidRPr="0003607D" w:rsidRDefault="0040350F" w:rsidP="0040350F">
      <w:pPr>
        <w:numPr>
          <w:ilvl w:val="1"/>
          <w:numId w:val="11"/>
        </w:numPr>
        <w:spacing w:before="100" w:beforeAutospacing="1" w:after="100" w:afterAutospacing="1" w:line="276" w:lineRule="auto"/>
        <w:rPr>
          <w:color w:val="000000"/>
        </w:rPr>
      </w:pPr>
      <w:r w:rsidRPr="0003607D">
        <w:rPr>
          <w:color w:val="000000"/>
        </w:rPr>
        <w:t>262 condamnations à des peines de prison ferme (2 à 3 ans).</w:t>
      </w:r>
    </w:p>
    <w:p w14:paraId="11753E77" w14:textId="77777777" w:rsidR="0040350F" w:rsidRPr="0003607D" w:rsidRDefault="0040350F" w:rsidP="0040350F">
      <w:pPr>
        <w:numPr>
          <w:ilvl w:val="1"/>
          <w:numId w:val="11"/>
        </w:numPr>
        <w:spacing w:before="100" w:beforeAutospacing="1" w:after="100" w:afterAutospacing="1" w:line="276" w:lineRule="auto"/>
        <w:rPr>
          <w:color w:val="000000"/>
        </w:rPr>
      </w:pPr>
      <w:r w:rsidRPr="0003607D">
        <w:rPr>
          <w:color w:val="000000"/>
        </w:rPr>
        <w:t>80 peines avec sursis.</w:t>
      </w:r>
    </w:p>
    <w:p w14:paraId="59EA078D" w14:textId="77777777" w:rsidR="0040350F" w:rsidRPr="0003607D" w:rsidRDefault="0040350F" w:rsidP="0040350F">
      <w:pPr>
        <w:numPr>
          <w:ilvl w:val="1"/>
          <w:numId w:val="11"/>
        </w:numPr>
        <w:spacing w:before="100" w:beforeAutospacing="1" w:after="100" w:afterAutospacing="1" w:line="276" w:lineRule="auto"/>
        <w:rPr>
          <w:color w:val="000000"/>
        </w:rPr>
      </w:pPr>
      <w:r w:rsidRPr="0003607D">
        <w:rPr>
          <w:color w:val="000000"/>
        </w:rPr>
        <w:t>Transferts de mineurs vers des centres de réhabilitation.</w:t>
      </w:r>
    </w:p>
    <w:p w14:paraId="023083C8" w14:textId="77777777" w:rsidR="0040350F" w:rsidRPr="00264799" w:rsidRDefault="0040350F" w:rsidP="0040350F">
      <w:pPr>
        <w:pStyle w:val="Heading3"/>
        <w:numPr>
          <w:ilvl w:val="2"/>
          <w:numId w:val="1"/>
        </w:numPr>
        <w:spacing w:line="276" w:lineRule="auto"/>
        <w:rPr>
          <w:rFonts w:cs="Times New Roman"/>
          <w:color w:val="000000"/>
          <w:sz w:val="24"/>
          <w:szCs w:val="24"/>
        </w:rPr>
      </w:pPr>
      <w:r w:rsidRPr="00264799">
        <w:rPr>
          <w:rStyle w:val="Strong"/>
          <w:rFonts w:cs="Times New Roman"/>
          <w:color w:val="000000"/>
          <w:sz w:val="24"/>
          <w:szCs w:val="24"/>
        </w:rPr>
        <w:t>Impunité et amnisties</w:t>
      </w:r>
    </w:p>
    <w:p w14:paraId="1A3C3978" w14:textId="5B2B6112" w:rsidR="0040350F" w:rsidRPr="0003607D" w:rsidRDefault="0040350F" w:rsidP="0040350F">
      <w:pPr>
        <w:pStyle w:val="NormalWeb"/>
        <w:numPr>
          <w:ilvl w:val="0"/>
          <w:numId w:val="13"/>
        </w:numPr>
        <w:spacing w:line="276" w:lineRule="auto"/>
        <w:rPr>
          <w:color w:val="000000"/>
        </w:rPr>
      </w:pPr>
      <w:r w:rsidRPr="0003607D">
        <w:rPr>
          <w:rStyle w:val="Strong"/>
          <w:rFonts w:eastAsiaTheme="majorEastAsia"/>
          <w:color w:val="000000"/>
        </w:rPr>
        <w:t xml:space="preserve">Accords politiques inclusifs de 2023 </w:t>
      </w:r>
      <w:r w:rsidR="00915E7C">
        <w:rPr>
          <w:rStyle w:val="Strong"/>
          <w:rFonts w:eastAsiaTheme="majorEastAsia"/>
          <w:color w:val="000000"/>
        </w:rPr>
        <w:t>et loi d’amnistie du 23 novembre 2023 :</w:t>
      </w:r>
    </w:p>
    <w:p w14:paraId="137571B6" w14:textId="77777777" w:rsidR="0040350F" w:rsidRPr="0003607D" w:rsidRDefault="0040350F" w:rsidP="0040350F">
      <w:pPr>
        <w:pStyle w:val="NormalWeb"/>
        <w:spacing w:line="276" w:lineRule="auto"/>
        <w:jc w:val="both"/>
        <w:rPr>
          <w:color w:val="000000"/>
        </w:rPr>
      </w:pPr>
      <w:r w:rsidRPr="0003607D">
        <w:rPr>
          <w:color w:val="000000"/>
        </w:rPr>
        <w:t>En janvier 2023, un accord politique a été signé entre le gouvernement tchadien et certains groupes d’opposition pour apaiser les tensions et relancer le processus de transition. Cet accord prévoyait :</w:t>
      </w:r>
    </w:p>
    <w:p w14:paraId="1B9817AE" w14:textId="77777777" w:rsidR="0040350F" w:rsidRPr="0003607D" w:rsidRDefault="0040350F" w:rsidP="0040350F">
      <w:pPr>
        <w:numPr>
          <w:ilvl w:val="1"/>
          <w:numId w:val="13"/>
        </w:numPr>
        <w:spacing w:before="100" w:beforeAutospacing="1" w:after="100" w:afterAutospacing="1" w:line="276" w:lineRule="auto"/>
        <w:jc w:val="both"/>
        <w:rPr>
          <w:color w:val="000000"/>
        </w:rPr>
      </w:pPr>
      <w:r w:rsidRPr="0003607D">
        <w:rPr>
          <w:color w:val="000000"/>
        </w:rPr>
        <w:t>Des garanties pour une participation politique plus inclusive.</w:t>
      </w:r>
    </w:p>
    <w:p w14:paraId="34D12968" w14:textId="77777777" w:rsidR="0040350F" w:rsidRPr="0003607D" w:rsidRDefault="0040350F" w:rsidP="0040350F">
      <w:pPr>
        <w:numPr>
          <w:ilvl w:val="1"/>
          <w:numId w:val="13"/>
        </w:numPr>
        <w:spacing w:line="276" w:lineRule="auto"/>
        <w:jc w:val="both"/>
        <w:rPr>
          <w:color w:val="000000"/>
        </w:rPr>
      </w:pPr>
      <w:r w:rsidRPr="0003607D">
        <w:rPr>
          <w:color w:val="000000"/>
        </w:rPr>
        <w:t>La révision des lois relatives aux droits humains et à la justice transitionnelle.</w:t>
      </w:r>
      <w:r w:rsidRPr="0003607D">
        <w:rPr>
          <w:color w:val="000000"/>
        </w:rPr>
        <w:br/>
        <w:t>Cependant, de nombreuses organisations de la société civile ont dénoncé l'absence d'engagements concrets pour résoudre les problèmes liés aux violations des droits humains, notamment lors des manifestations d’octobre 2022.</w:t>
      </w:r>
    </w:p>
    <w:p w14:paraId="1858A8ED" w14:textId="12629B12" w:rsidR="0040350F" w:rsidRPr="0003607D" w:rsidRDefault="00915E7C" w:rsidP="0040350F">
      <w:pPr>
        <w:pStyle w:val="NormalWeb"/>
        <w:spacing w:line="276" w:lineRule="auto"/>
        <w:jc w:val="both"/>
        <w:rPr>
          <w:color w:val="000000"/>
        </w:rPr>
      </w:pPr>
      <w:r>
        <w:rPr>
          <w:color w:val="000000"/>
        </w:rPr>
        <w:t>L</w:t>
      </w:r>
      <w:r w:rsidR="0040350F" w:rsidRPr="0003607D">
        <w:rPr>
          <w:color w:val="000000"/>
        </w:rPr>
        <w:t xml:space="preserve">e 23 novembre 2023, une loi d’amnistie a été adoptée par </w:t>
      </w:r>
      <w:r w:rsidR="0040350F" w:rsidRPr="0003607D">
        <w:t xml:space="preserve">le Conseil national de transition (CNT) </w:t>
      </w:r>
      <w:r w:rsidR="0040350F">
        <w:t>puis promulguée le 3 décembre 2023. Elle</w:t>
      </w:r>
      <w:r w:rsidR="0040350F" w:rsidRPr="0003607D">
        <w:t xml:space="preserve"> prévoit que « ...</w:t>
      </w:r>
      <w:r w:rsidR="0040350F" w:rsidRPr="00264799">
        <w:rPr>
          <w:i/>
          <w:iCs/>
        </w:rPr>
        <w:t>tous les tchadiens résidant au Tchad ou à l’étranger (civils ou militaires) ayant été impliqués, poursuivis ou condamnés pour les infractions commises le 20 octobre 2022 sont éligibles à cette amnistie</w:t>
      </w:r>
      <w:r w:rsidR="0040350F" w:rsidRPr="0003607D">
        <w:t xml:space="preserve">... ». </w:t>
      </w:r>
      <w:r w:rsidR="0040350F" w:rsidRPr="0003607D">
        <w:rPr>
          <w:color w:val="000000"/>
        </w:rPr>
        <w:t xml:space="preserve">Adoptée </w:t>
      </w:r>
      <w:r w:rsidR="0040350F">
        <w:rPr>
          <w:color w:val="000000"/>
        </w:rPr>
        <w:t>au nom de la réconciliation nationale</w:t>
      </w:r>
      <w:r w:rsidR="0040350F" w:rsidRPr="0003607D">
        <w:rPr>
          <w:color w:val="000000"/>
        </w:rPr>
        <w:t>, cette loi a été critiquée pour :</w:t>
      </w:r>
    </w:p>
    <w:p w14:paraId="1C554665" w14:textId="77777777" w:rsidR="0040350F" w:rsidRPr="0003607D" w:rsidRDefault="0040350F" w:rsidP="0040350F">
      <w:pPr>
        <w:numPr>
          <w:ilvl w:val="1"/>
          <w:numId w:val="13"/>
        </w:numPr>
        <w:spacing w:before="100" w:beforeAutospacing="1" w:after="100" w:afterAutospacing="1" w:line="276" w:lineRule="auto"/>
        <w:jc w:val="both"/>
        <w:rPr>
          <w:color w:val="000000"/>
        </w:rPr>
      </w:pPr>
      <w:r w:rsidRPr="0003607D">
        <w:rPr>
          <w:color w:val="000000"/>
        </w:rPr>
        <w:t>Accorder l’amnistie à certains membres des forces de sécurité impliqués dans la répression meurtrière des manifestations.</w:t>
      </w:r>
    </w:p>
    <w:p w14:paraId="0E7A504F" w14:textId="77777777" w:rsidR="0040350F" w:rsidRPr="0003607D" w:rsidRDefault="0040350F" w:rsidP="0040350F">
      <w:pPr>
        <w:numPr>
          <w:ilvl w:val="1"/>
          <w:numId w:val="13"/>
        </w:numPr>
        <w:spacing w:before="100" w:beforeAutospacing="1" w:after="100" w:afterAutospacing="1" w:line="276" w:lineRule="auto"/>
        <w:jc w:val="both"/>
        <w:rPr>
          <w:color w:val="000000"/>
        </w:rPr>
      </w:pPr>
      <w:r w:rsidRPr="0003607D">
        <w:rPr>
          <w:color w:val="000000"/>
        </w:rPr>
        <w:t xml:space="preserve">Ne pas inclure de mécanismes clairs pour indemniser les victimes </w:t>
      </w:r>
      <w:r>
        <w:rPr>
          <w:color w:val="000000"/>
        </w:rPr>
        <w:t>et priver</w:t>
      </w:r>
      <w:r w:rsidRPr="0003607D">
        <w:rPr>
          <w:color w:val="000000"/>
        </w:rPr>
        <w:t xml:space="preserve"> le droit </w:t>
      </w:r>
      <w:r>
        <w:rPr>
          <w:color w:val="000000"/>
        </w:rPr>
        <w:t xml:space="preserve">des victimes </w:t>
      </w:r>
      <w:r w:rsidRPr="0003607D">
        <w:rPr>
          <w:color w:val="000000"/>
        </w:rPr>
        <w:t xml:space="preserve">à la </w:t>
      </w:r>
      <w:r>
        <w:rPr>
          <w:color w:val="000000"/>
        </w:rPr>
        <w:t xml:space="preserve">vérité, la </w:t>
      </w:r>
      <w:r w:rsidRPr="0003607D">
        <w:rPr>
          <w:color w:val="000000"/>
        </w:rPr>
        <w:t>justice</w:t>
      </w:r>
      <w:r>
        <w:rPr>
          <w:color w:val="000000"/>
        </w:rPr>
        <w:t xml:space="preserve"> et la réparation</w:t>
      </w:r>
      <w:r w:rsidRPr="0003607D">
        <w:rPr>
          <w:color w:val="000000"/>
        </w:rPr>
        <w:t>.</w:t>
      </w:r>
    </w:p>
    <w:p w14:paraId="0567A259" w14:textId="77777777" w:rsidR="0040350F" w:rsidRPr="0003607D" w:rsidRDefault="0040350F" w:rsidP="0040350F">
      <w:pPr>
        <w:numPr>
          <w:ilvl w:val="1"/>
          <w:numId w:val="13"/>
        </w:numPr>
        <w:spacing w:line="276" w:lineRule="auto"/>
        <w:jc w:val="both"/>
        <w:rPr>
          <w:color w:val="000000"/>
        </w:rPr>
      </w:pPr>
      <w:r w:rsidRPr="0003607D">
        <w:rPr>
          <w:color w:val="000000"/>
        </w:rPr>
        <w:t>Renforcer un climat d'impunité</w:t>
      </w:r>
      <w:r>
        <w:rPr>
          <w:color w:val="000000"/>
        </w:rPr>
        <w:t>, en contradiction avec les principes constitutionnels, les normes internationales ratifiées par le Tchad, ainsi que les droits et libertés fondamentaux garantis par la Constitution de la République du Tchad.</w:t>
      </w:r>
    </w:p>
    <w:p w14:paraId="73CBD3EC" w14:textId="77777777" w:rsidR="0040350F" w:rsidRPr="0003607D" w:rsidRDefault="0040350F" w:rsidP="0040350F">
      <w:pPr>
        <w:spacing w:line="276" w:lineRule="auto"/>
      </w:pPr>
    </w:p>
    <w:p w14:paraId="6D8DE949" w14:textId="77777777" w:rsidR="0040350F" w:rsidRPr="00264799" w:rsidRDefault="0040350F" w:rsidP="00957418">
      <w:pPr>
        <w:pStyle w:val="NormalWeb"/>
        <w:numPr>
          <w:ilvl w:val="0"/>
          <w:numId w:val="13"/>
        </w:numPr>
        <w:spacing w:line="276" w:lineRule="auto"/>
        <w:rPr>
          <w:color w:val="000000"/>
        </w:rPr>
      </w:pPr>
      <w:r w:rsidRPr="00957418">
        <w:rPr>
          <w:rStyle w:val="Strong"/>
          <w:rFonts w:eastAsiaTheme="majorEastAsia"/>
          <w:color w:val="000000"/>
        </w:rPr>
        <w:t>Plainte</w:t>
      </w:r>
      <w:r w:rsidRPr="00264799">
        <w:rPr>
          <w:rStyle w:val="Strong"/>
          <w:color w:val="000000"/>
        </w:rPr>
        <w:t xml:space="preserve"> </w:t>
      </w:r>
      <w:r>
        <w:rPr>
          <w:rStyle w:val="Strong"/>
          <w:color w:val="000000"/>
        </w:rPr>
        <w:t>pénale soutenue par</w:t>
      </w:r>
      <w:r w:rsidRPr="00264799">
        <w:rPr>
          <w:rStyle w:val="Strong"/>
          <w:color w:val="000000"/>
        </w:rPr>
        <w:t xml:space="preserve"> l’OMCT et LTDH en décembre 2024</w:t>
      </w:r>
    </w:p>
    <w:p w14:paraId="783B8C94" w14:textId="77777777" w:rsidR="0040350F" w:rsidRPr="0003607D" w:rsidRDefault="0040350F" w:rsidP="0040350F">
      <w:pPr>
        <w:pStyle w:val="NormalWeb"/>
        <w:spacing w:line="276" w:lineRule="auto"/>
        <w:jc w:val="both"/>
        <w:rPr>
          <w:color w:val="000000"/>
        </w:rPr>
      </w:pPr>
      <w:r w:rsidRPr="0003607D">
        <w:rPr>
          <w:color w:val="000000"/>
        </w:rPr>
        <w:lastRenderedPageBreak/>
        <w:t xml:space="preserve">En décembre 2024, l'Organisation Mondiale Contre la Torture (OMCT) et la Ligue Tchadienne des Droits de l'Homme (LTDH) ont </w:t>
      </w:r>
      <w:hyperlink r:id="rId10" w:anchor=":~:text=Le%20rapport%20publi%C3%A9%20par%20l,au%20moins%2040%20personnes%20disparues." w:history="1">
        <w:r w:rsidRPr="0003607D">
          <w:rPr>
            <w:rStyle w:val="Hyperlink"/>
          </w:rPr>
          <w:t>déposé une plainte</w:t>
        </w:r>
      </w:hyperlink>
      <w:r w:rsidRPr="0003607D">
        <w:rPr>
          <w:color w:val="000000"/>
        </w:rPr>
        <w:t xml:space="preserve"> devant </w:t>
      </w:r>
      <w:r>
        <w:rPr>
          <w:color w:val="000000"/>
        </w:rPr>
        <w:t xml:space="preserve">le doyen du juge d’instruction du </w:t>
      </w:r>
      <w:r w:rsidRPr="0003607D">
        <w:rPr>
          <w:color w:val="000000"/>
        </w:rPr>
        <w:t>tribunal de grande instance de N’Djamena</w:t>
      </w:r>
      <w:r>
        <w:rPr>
          <w:color w:val="000000"/>
        </w:rPr>
        <w:t xml:space="preserve"> avec constitution des parties civiles</w:t>
      </w:r>
      <w:r w:rsidRPr="0003607D">
        <w:rPr>
          <w:color w:val="000000"/>
        </w:rPr>
        <w:t xml:space="preserve"> au nom d’une dizaine de victimes </w:t>
      </w:r>
      <w:r w:rsidRPr="00264799">
        <w:rPr>
          <w:color w:val="000000"/>
        </w:rPr>
        <w:t xml:space="preserve">et survivants </w:t>
      </w:r>
      <w:r w:rsidRPr="0003607D">
        <w:rPr>
          <w:color w:val="000000"/>
        </w:rPr>
        <w:t>lors des manifestations du 20 octobre 2022 contre</w:t>
      </w:r>
      <w:r w:rsidRPr="0003607D">
        <w:t xml:space="preserve"> </w:t>
      </w:r>
      <w:r w:rsidRPr="0003607D">
        <w:rPr>
          <w:color w:val="000000"/>
        </w:rPr>
        <w:t xml:space="preserve">une vingtaine de hauts responsables civils et militaires en fonction pendant la transition afin qu’ils soient poursuivis et traduits en justice pour leur implication dans ces massacres. </w:t>
      </w:r>
    </w:p>
    <w:p w14:paraId="1F8CFBBC" w14:textId="77777777" w:rsidR="0040350F" w:rsidRPr="0003607D" w:rsidRDefault="0040350F" w:rsidP="0040350F">
      <w:pPr>
        <w:pStyle w:val="NormalWeb"/>
        <w:spacing w:line="276" w:lineRule="auto"/>
        <w:jc w:val="both"/>
        <w:rPr>
          <w:color w:val="000000"/>
        </w:rPr>
      </w:pPr>
      <w:r w:rsidRPr="0003607D">
        <w:rPr>
          <w:color w:val="000000"/>
        </w:rPr>
        <w:t>La plainte vise les infractions de torture, tentative d’assassinat ; tentative de meurtre, séquestration, arrestation et détention arbitraire</w:t>
      </w:r>
      <w:r>
        <w:rPr>
          <w:color w:val="000000"/>
        </w:rPr>
        <w:t xml:space="preserve"> </w:t>
      </w:r>
      <w:r w:rsidRPr="0003607D">
        <w:rPr>
          <w:color w:val="000000"/>
        </w:rPr>
        <w:t>; coups et blessures volontaires</w:t>
      </w:r>
      <w:r>
        <w:rPr>
          <w:color w:val="000000"/>
        </w:rPr>
        <w:t xml:space="preserve"> </w:t>
      </w:r>
      <w:r w:rsidRPr="0003607D">
        <w:rPr>
          <w:color w:val="000000"/>
        </w:rPr>
        <w:t xml:space="preserve">; et détention dans un lieu non officiel, des infractions prévues et réprimées par les articles 78, 175, 302 à 304, 307 à 315, 323 et suivants, 325 et suivants du Code pénal tchadien. </w:t>
      </w:r>
    </w:p>
    <w:p w14:paraId="7EA21969" w14:textId="77777777" w:rsidR="0040350F" w:rsidRPr="0003607D" w:rsidRDefault="0040350F" w:rsidP="0040350F">
      <w:pPr>
        <w:spacing w:line="276" w:lineRule="auto"/>
        <w:jc w:val="both"/>
        <w:rPr>
          <w:color w:val="000000"/>
        </w:rPr>
      </w:pPr>
      <w:r w:rsidRPr="0003607D">
        <w:rPr>
          <w:color w:val="000000"/>
        </w:rPr>
        <w:t xml:space="preserve">La plainte conteste également la constitutionalité de la loi d’amnistie </w:t>
      </w:r>
      <w:r>
        <w:rPr>
          <w:color w:val="000000"/>
        </w:rPr>
        <w:t xml:space="preserve">de 2023 </w:t>
      </w:r>
      <w:r w:rsidRPr="0003607D">
        <w:rPr>
          <w:color w:val="000000"/>
        </w:rPr>
        <w:t>qui a été adoptée en violation des dispositions de la Constitution sur le respect du droit à la vie, à l’intégrité physique et la dignité humaine.</w:t>
      </w:r>
    </w:p>
    <w:p w14:paraId="2BB5C13D" w14:textId="77777777" w:rsidR="0040350F" w:rsidRPr="0003607D" w:rsidRDefault="0040350F" w:rsidP="0040350F">
      <w:pPr>
        <w:spacing w:line="276" w:lineRule="auto"/>
        <w:jc w:val="both"/>
        <w:rPr>
          <w:color w:val="000000"/>
        </w:rPr>
      </w:pPr>
    </w:p>
    <w:p w14:paraId="060D4EAB" w14:textId="199CC1FA" w:rsidR="00156341" w:rsidRPr="00957418" w:rsidRDefault="0040350F" w:rsidP="00957418">
      <w:pPr>
        <w:spacing w:line="276" w:lineRule="auto"/>
        <w:jc w:val="both"/>
        <w:rPr>
          <w:rStyle w:val="Strong"/>
          <w:b w:val="0"/>
          <w:bCs w:val="0"/>
          <w:color w:val="000000"/>
        </w:rPr>
      </w:pPr>
      <w:r w:rsidRPr="0003607D">
        <w:rPr>
          <w:color w:val="000000"/>
        </w:rPr>
        <w:t>À la date du présent rapport, cette plainte n’a pas donné lieu à l’ouverture d’une enquête. Une ordonnance aux fins de non informer a été prise par le Doyen des juges d’instruction du Tribunal de grande instance de N’</w:t>
      </w:r>
      <w:r>
        <w:rPr>
          <w:color w:val="000000"/>
        </w:rPr>
        <w:t>D</w:t>
      </w:r>
      <w:r w:rsidRPr="0003607D">
        <w:rPr>
          <w:color w:val="000000"/>
        </w:rPr>
        <w:t xml:space="preserve">jamena et </w:t>
      </w:r>
      <w:r w:rsidR="00957418">
        <w:rPr>
          <w:color w:val="000000"/>
        </w:rPr>
        <w:t>la</w:t>
      </w:r>
      <w:r w:rsidRPr="0003607D">
        <w:rPr>
          <w:color w:val="000000"/>
        </w:rPr>
        <w:t xml:space="preserve"> procédure d’appel est </w:t>
      </w:r>
      <w:r w:rsidR="00957418">
        <w:rPr>
          <w:color w:val="000000"/>
        </w:rPr>
        <w:t xml:space="preserve">toujours </w:t>
      </w:r>
      <w:r w:rsidRPr="0003607D">
        <w:rPr>
          <w:color w:val="000000"/>
        </w:rPr>
        <w:t>en cours.</w:t>
      </w:r>
    </w:p>
    <w:p w14:paraId="67E4DA84" w14:textId="77777777" w:rsidR="0040350F" w:rsidRPr="001A4F5C" w:rsidRDefault="0040350F" w:rsidP="0040350F">
      <w:pPr>
        <w:pStyle w:val="NormalWeb"/>
        <w:spacing w:before="0" w:beforeAutospacing="0" w:after="0" w:afterAutospacing="0" w:line="276" w:lineRule="auto"/>
        <w:ind w:left="720"/>
        <w:rPr>
          <w:rStyle w:val="Strong"/>
          <w:rFonts w:eastAsiaTheme="majorEastAsia"/>
          <w:color w:val="000000"/>
        </w:rPr>
      </w:pPr>
    </w:p>
    <w:tbl>
      <w:tblPr>
        <w:tblStyle w:val="TableGrid"/>
        <w:tblW w:w="0" w:type="auto"/>
        <w:tblLook w:val="04A0" w:firstRow="1" w:lastRow="0" w:firstColumn="1" w:lastColumn="0" w:noHBand="0" w:noVBand="1"/>
      </w:tblPr>
      <w:tblGrid>
        <w:gridCol w:w="9062"/>
      </w:tblGrid>
      <w:tr w:rsidR="00254118" w14:paraId="18782FD8" w14:textId="77777777" w:rsidTr="00254118">
        <w:tc>
          <w:tcPr>
            <w:tcW w:w="9062" w:type="dxa"/>
          </w:tcPr>
          <w:p w14:paraId="507009E3" w14:textId="77777777" w:rsidR="00254118" w:rsidRDefault="00254118" w:rsidP="00254118">
            <w:pPr>
              <w:pStyle w:val="NormalWeb"/>
              <w:spacing w:before="0" w:beforeAutospacing="0" w:after="0" w:afterAutospacing="0" w:line="276" w:lineRule="auto"/>
              <w:rPr>
                <w:rStyle w:val="Strong"/>
                <w:rFonts w:eastAsiaTheme="majorEastAsia"/>
                <w:b w:val="0"/>
                <w:bCs w:val="0"/>
                <w:color w:val="000000"/>
              </w:rPr>
            </w:pPr>
            <w:r>
              <w:rPr>
                <w:rStyle w:val="Strong"/>
                <w:rFonts w:eastAsiaTheme="majorEastAsia"/>
                <w:b w:val="0"/>
                <w:bCs w:val="0"/>
                <w:color w:val="000000"/>
              </w:rPr>
              <w:t>Recommandations :</w:t>
            </w:r>
          </w:p>
          <w:p w14:paraId="3372D6AC" w14:textId="77777777" w:rsidR="00254118" w:rsidRDefault="00254118" w:rsidP="00254118">
            <w:pPr>
              <w:pStyle w:val="NormalWeb"/>
              <w:spacing w:before="0" w:beforeAutospacing="0" w:after="0" w:afterAutospacing="0" w:line="276" w:lineRule="auto"/>
              <w:rPr>
                <w:rStyle w:val="Strong"/>
                <w:rFonts w:eastAsiaTheme="majorEastAsia"/>
                <w:color w:val="000000"/>
              </w:rPr>
            </w:pPr>
          </w:p>
          <w:p w14:paraId="426125E9" w14:textId="79417FD1" w:rsidR="00254118" w:rsidRPr="00A013EE" w:rsidRDefault="00B77AA9" w:rsidP="00A013EE">
            <w:pPr>
              <w:pStyle w:val="NormalWeb"/>
              <w:numPr>
                <w:ilvl w:val="0"/>
                <w:numId w:val="34"/>
              </w:numPr>
              <w:spacing w:before="0" w:beforeAutospacing="0" w:after="0" w:afterAutospacing="0" w:line="276" w:lineRule="auto"/>
              <w:jc w:val="both"/>
              <w:rPr>
                <w:rFonts w:eastAsiaTheme="majorEastAsia"/>
                <w:color w:val="000000"/>
              </w:rPr>
            </w:pPr>
            <w:r>
              <w:rPr>
                <w:color w:val="000000"/>
              </w:rPr>
              <w:t>A</w:t>
            </w:r>
            <w:r w:rsidRPr="002664B6">
              <w:rPr>
                <w:color w:val="000000"/>
              </w:rPr>
              <w:t>broger la loi d’amnistie du 23 novembre 2023</w:t>
            </w:r>
            <w:r>
              <w:rPr>
                <w:color w:val="000000"/>
              </w:rPr>
              <w:t>, en ce qu’elle contrevient aux engagements internationaux du Tchad ;</w:t>
            </w:r>
          </w:p>
          <w:p w14:paraId="377442E4" w14:textId="36D1495E" w:rsidR="00B77AA9" w:rsidRDefault="00B77AA9" w:rsidP="00A013EE">
            <w:pPr>
              <w:pStyle w:val="NormalWeb"/>
              <w:numPr>
                <w:ilvl w:val="0"/>
                <w:numId w:val="34"/>
              </w:numPr>
              <w:spacing w:before="0" w:beforeAutospacing="0" w:after="0" w:afterAutospacing="0" w:line="276" w:lineRule="auto"/>
              <w:jc w:val="both"/>
              <w:rPr>
                <w:rStyle w:val="Strong"/>
                <w:rFonts w:eastAsiaTheme="majorEastAsia"/>
                <w:b w:val="0"/>
                <w:bCs w:val="0"/>
                <w:color w:val="000000"/>
              </w:rPr>
            </w:pPr>
            <w:r>
              <w:t>S</w:t>
            </w:r>
            <w:r w:rsidRPr="002664B6">
              <w:t>’assurer que dans tous les cas d’allégations d’exécutions extrajudiciaires, de torture et de mauvais traitements et de disparitions forcées, en particulier lors des évènements du 20 octobre 2022, des enquêtes promptes, impartiales et indépendantes soient menées pour identifier les responsables, indépendamment de leur statut, les poursuivre et, s’ils sont reconnus coupables, les condamner à des sanctions appropriées et donner réparation à toutes les victimes</w:t>
            </w:r>
            <w:r>
              <w:t>.</w:t>
            </w:r>
          </w:p>
          <w:p w14:paraId="69AC77AE" w14:textId="77777777" w:rsidR="00254118" w:rsidRDefault="00254118" w:rsidP="00156341">
            <w:pPr>
              <w:pStyle w:val="NormalWeb"/>
              <w:spacing w:before="0" w:beforeAutospacing="0" w:after="0" w:afterAutospacing="0" w:line="276" w:lineRule="auto"/>
              <w:rPr>
                <w:rStyle w:val="Strong"/>
                <w:rFonts w:eastAsiaTheme="majorEastAsia"/>
                <w:b w:val="0"/>
                <w:bCs w:val="0"/>
                <w:color w:val="000000"/>
              </w:rPr>
            </w:pPr>
          </w:p>
        </w:tc>
      </w:tr>
    </w:tbl>
    <w:p w14:paraId="665E4A09" w14:textId="77777777" w:rsidR="00254118" w:rsidRPr="00156341" w:rsidRDefault="00254118" w:rsidP="00156341">
      <w:pPr>
        <w:pStyle w:val="NormalWeb"/>
        <w:spacing w:before="0" w:beforeAutospacing="0" w:after="0" w:afterAutospacing="0" w:line="276" w:lineRule="auto"/>
        <w:rPr>
          <w:rStyle w:val="Strong"/>
          <w:rFonts w:eastAsiaTheme="majorEastAsia"/>
          <w:b w:val="0"/>
          <w:bCs w:val="0"/>
          <w:color w:val="000000"/>
        </w:rPr>
      </w:pPr>
    </w:p>
    <w:p w14:paraId="4A676D25" w14:textId="1D380738" w:rsidR="00124023" w:rsidRPr="00F70B46" w:rsidRDefault="00124023" w:rsidP="00A013EE">
      <w:pPr>
        <w:pStyle w:val="NormalWeb"/>
        <w:numPr>
          <w:ilvl w:val="0"/>
          <w:numId w:val="15"/>
        </w:numPr>
        <w:spacing w:before="0" w:beforeAutospacing="0" w:after="0" w:afterAutospacing="0" w:line="276" w:lineRule="auto"/>
        <w:rPr>
          <w:rStyle w:val="Strong"/>
          <w:rFonts w:eastAsiaTheme="majorEastAsia"/>
          <w:b w:val="0"/>
          <w:bCs w:val="0"/>
          <w:color w:val="000000"/>
          <w:u w:val="single"/>
        </w:rPr>
      </w:pPr>
      <w:r w:rsidRPr="00124023">
        <w:rPr>
          <w:rStyle w:val="Strong"/>
          <w:rFonts w:eastAsiaTheme="majorEastAsia"/>
          <w:color w:val="000000"/>
          <w:u w:val="single"/>
        </w:rPr>
        <w:t>Disparitions forcées (article</w:t>
      </w:r>
      <w:r w:rsidR="004A0067">
        <w:rPr>
          <w:rStyle w:val="Strong"/>
          <w:rFonts w:eastAsiaTheme="majorEastAsia"/>
          <w:color w:val="000000"/>
          <w:u w:val="single"/>
        </w:rPr>
        <w:t>s</w:t>
      </w:r>
      <w:r w:rsidRPr="00124023">
        <w:rPr>
          <w:rStyle w:val="Strong"/>
          <w:rFonts w:eastAsiaTheme="majorEastAsia"/>
          <w:color w:val="000000"/>
          <w:u w:val="single"/>
        </w:rPr>
        <w:t xml:space="preserve"> 6, 9 et 12)</w:t>
      </w:r>
    </w:p>
    <w:p w14:paraId="2D2F1F1F" w14:textId="1BCC93ED" w:rsidR="000767D5" w:rsidRPr="00A013EE" w:rsidRDefault="000767D5" w:rsidP="000767D5">
      <w:pPr>
        <w:pStyle w:val="NormalWeb"/>
        <w:spacing w:before="0" w:beforeAutospacing="0" w:after="0" w:afterAutospacing="0" w:line="276" w:lineRule="auto"/>
        <w:jc w:val="both"/>
        <w:rPr>
          <w:rStyle w:val="Strong"/>
          <w:rFonts w:eastAsiaTheme="majorEastAsia"/>
          <w:b w:val="0"/>
          <w:bCs w:val="0"/>
          <w:color w:val="000000"/>
        </w:rPr>
      </w:pPr>
    </w:p>
    <w:p w14:paraId="418510B8" w14:textId="1253B834" w:rsidR="00AE4A03" w:rsidRPr="000767D5" w:rsidRDefault="000767D5" w:rsidP="00A013EE">
      <w:pPr>
        <w:pStyle w:val="NormalWeb"/>
        <w:numPr>
          <w:ilvl w:val="0"/>
          <w:numId w:val="24"/>
        </w:numPr>
        <w:spacing w:before="0" w:beforeAutospacing="0" w:after="0" w:afterAutospacing="0" w:line="276" w:lineRule="auto"/>
        <w:jc w:val="both"/>
        <w:rPr>
          <w:rStyle w:val="Strong"/>
          <w:rFonts w:eastAsiaTheme="majorEastAsia"/>
          <w:b w:val="0"/>
          <w:bCs w:val="0"/>
          <w:color w:val="000000"/>
        </w:rPr>
      </w:pPr>
      <w:r w:rsidRPr="00A013EE">
        <w:rPr>
          <w:rStyle w:val="Strong"/>
          <w:rFonts w:eastAsiaTheme="majorEastAsia"/>
          <w:b w:val="0"/>
          <w:bCs w:val="0"/>
          <w:color w:val="000000"/>
        </w:rPr>
        <w:t>Disparitions forcées commises lors des évènements du 20 octobre 2022</w:t>
      </w:r>
      <w:r w:rsidR="00CE21F0">
        <w:rPr>
          <w:rStyle w:val="Strong"/>
          <w:rFonts w:eastAsiaTheme="majorEastAsia"/>
          <w:b w:val="0"/>
          <w:bCs w:val="0"/>
          <w:color w:val="000000"/>
        </w:rPr>
        <w:t xml:space="preserve"> et cas récents</w:t>
      </w:r>
    </w:p>
    <w:p w14:paraId="60A72735" w14:textId="32EE93E7" w:rsidR="00AE4A03" w:rsidRPr="00A013EE" w:rsidRDefault="00AE4A03" w:rsidP="00A013EE">
      <w:pPr>
        <w:pStyle w:val="NormalWeb"/>
        <w:jc w:val="both"/>
        <w:rPr>
          <w:color w:val="000000" w:themeColor="text1"/>
        </w:rPr>
      </w:pPr>
      <w:r w:rsidRPr="00A013EE">
        <w:rPr>
          <w:color w:val="000000" w:themeColor="text1"/>
        </w:rPr>
        <w:t xml:space="preserve">Les violences d’octobre 2022 ont été associées à de </w:t>
      </w:r>
      <w:r w:rsidRPr="00A013EE">
        <w:rPr>
          <w:rStyle w:val="Strong"/>
          <w:rFonts w:eastAsiaTheme="majorEastAsia"/>
          <w:b w:val="0"/>
          <w:color w:val="000000" w:themeColor="text1"/>
        </w:rPr>
        <w:t>nombreux cas de disparitions forcées</w:t>
      </w:r>
      <w:r w:rsidRPr="00A013EE">
        <w:rPr>
          <w:b/>
          <w:color w:val="000000" w:themeColor="text1"/>
        </w:rPr>
        <w:t> </w:t>
      </w:r>
      <w:r w:rsidRPr="00A013EE">
        <w:rPr>
          <w:color w:val="000000" w:themeColor="text1"/>
        </w:rPr>
        <w:t xml:space="preserve">: des manifestants et civils ont été arrêtés par les forces de sécurité lors de la répression des manifestations pacifiques, puis </w:t>
      </w:r>
      <w:r w:rsidRPr="00A013EE">
        <w:rPr>
          <w:rStyle w:val="Strong"/>
          <w:rFonts w:eastAsiaTheme="majorEastAsia"/>
          <w:b w:val="0"/>
          <w:color w:val="000000" w:themeColor="text1"/>
        </w:rPr>
        <w:t>portés disparus</w:t>
      </w:r>
      <w:r w:rsidRPr="00A013EE">
        <w:rPr>
          <w:b/>
          <w:color w:val="000000" w:themeColor="text1"/>
        </w:rPr>
        <w:t>,</w:t>
      </w:r>
      <w:r w:rsidRPr="00A013EE">
        <w:rPr>
          <w:color w:val="000000" w:themeColor="text1"/>
        </w:rPr>
        <w:t xml:space="preserve"> sans que leurs familles ne reçoivent d’informations claires sur leur sort ou leur localisation. Un rapport conjoint de l’OMCT et de la LTDH a identifié au moins </w:t>
      </w:r>
      <w:r w:rsidRPr="00A013EE">
        <w:rPr>
          <w:rStyle w:val="Strong"/>
          <w:rFonts w:eastAsiaTheme="majorEastAsia"/>
          <w:b w:val="0"/>
          <w:color w:val="000000" w:themeColor="text1"/>
        </w:rPr>
        <w:t>40 cas de disparitions</w:t>
      </w:r>
      <w:r w:rsidRPr="00A013EE">
        <w:rPr>
          <w:color w:val="000000" w:themeColor="text1"/>
        </w:rPr>
        <w:t xml:space="preserve"> dans le cadre de cette répression, sur la base de témoignages recueillis à N’Djamena, Moundou, Mongo, Doba et </w:t>
      </w:r>
      <w:proofErr w:type="spellStart"/>
      <w:r w:rsidRPr="00A013EE">
        <w:rPr>
          <w:color w:val="000000" w:themeColor="text1"/>
        </w:rPr>
        <w:t>Koumra</w:t>
      </w:r>
      <w:proofErr w:type="spellEnd"/>
      <w:r w:rsidRPr="00A013EE">
        <w:rPr>
          <w:color w:val="000000" w:themeColor="text1"/>
        </w:rPr>
        <w:t>.</w:t>
      </w:r>
      <w:r w:rsidR="009E33A4">
        <w:rPr>
          <w:color w:val="000000" w:themeColor="text1"/>
        </w:rPr>
        <w:t xml:space="preserve"> Jusqu’à ce jour aucune enquête n’a été mené pour élucider les cas de disparitions alléguées.</w:t>
      </w:r>
    </w:p>
    <w:p w14:paraId="07981378" w14:textId="284E350C" w:rsidR="00AE4A03" w:rsidRPr="00A013EE" w:rsidRDefault="00227EF4" w:rsidP="00A013EE">
      <w:pPr>
        <w:pStyle w:val="NormalWeb"/>
        <w:jc w:val="both"/>
        <w:rPr>
          <w:color w:val="000000" w:themeColor="text1"/>
        </w:rPr>
      </w:pPr>
      <w:r>
        <w:rPr>
          <w:color w:val="000000" w:themeColor="text1"/>
        </w:rPr>
        <w:lastRenderedPageBreak/>
        <w:t xml:space="preserve">Un </w:t>
      </w:r>
      <w:r w:rsidR="00AE4A03" w:rsidRPr="00A013EE">
        <w:rPr>
          <w:color w:val="000000" w:themeColor="text1"/>
        </w:rPr>
        <w:t xml:space="preserve">autre cas récent </w:t>
      </w:r>
      <w:r w:rsidR="00F2585E">
        <w:rPr>
          <w:color w:val="000000" w:themeColor="text1"/>
        </w:rPr>
        <w:t>de disparition forcée à signaler est celui de Monsieur</w:t>
      </w:r>
      <w:r w:rsidR="00AE4A03" w:rsidRPr="00A013EE">
        <w:rPr>
          <w:color w:val="000000" w:themeColor="text1"/>
        </w:rPr>
        <w:t xml:space="preserve"> </w:t>
      </w:r>
      <w:r w:rsidR="00F2585E" w:rsidRPr="00FB5DE9">
        <w:rPr>
          <w:color w:val="000000" w:themeColor="text1"/>
        </w:rPr>
        <w:t xml:space="preserve">Ismail </w:t>
      </w:r>
      <w:proofErr w:type="spellStart"/>
      <w:r w:rsidR="00F2585E" w:rsidRPr="00FB5DE9">
        <w:rPr>
          <w:color w:val="000000" w:themeColor="text1"/>
        </w:rPr>
        <w:t>Ngakoutou</w:t>
      </w:r>
      <w:proofErr w:type="spellEnd"/>
      <w:r w:rsidR="00F2585E" w:rsidRPr="00FB5DE9">
        <w:rPr>
          <w:color w:val="000000" w:themeColor="text1"/>
        </w:rPr>
        <w:t xml:space="preserve">, </w:t>
      </w:r>
      <w:r w:rsidR="00F2585E">
        <w:rPr>
          <w:color w:val="000000" w:themeColor="text1"/>
        </w:rPr>
        <w:t xml:space="preserve">franco-tchadien </w:t>
      </w:r>
      <w:r w:rsidR="00F2585E" w:rsidRPr="00FB5DE9">
        <w:rPr>
          <w:color w:val="000000" w:themeColor="text1"/>
        </w:rPr>
        <w:t>arrêté à l’aéroport de N’Djamena</w:t>
      </w:r>
      <w:r w:rsidR="00F2585E" w:rsidRPr="00F2585E">
        <w:rPr>
          <w:color w:val="000000" w:themeColor="text1"/>
        </w:rPr>
        <w:t xml:space="preserve"> </w:t>
      </w:r>
      <w:r w:rsidR="00F2585E">
        <w:rPr>
          <w:color w:val="000000" w:themeColor="text1"/>
        </w:rPr>
        <w:t>le 10 juillet</w:t>
      </w:r>
      <w:r w:rsidR="00F2585E" w:rsidRPr="00A013EE">
        <w:rPr>
          <w:color w:val="000000" w:themeColor="text1"/>
        </w:rPr>
        <w:t> 2024</w:t>
      </w:r>
      <w:r w:rsidR="00AE4A03" w:rsidRPr="00A013EE">
        <w:rPr>
          <w:color w:val="000000" w:themeColor="text1"/>
        </w:rPr>
        <w:t xml:space="preserve">, </w:t>
      </w:r>
      <w:r w:rsidR="00F2585E">
        <w:rPr>
          <w:color w:val="000000" w:themeColor="text1"/>
        </w:rPr>
        <w:t>et maintenu en détention au secret</w:t>
      </w:r>
      <w:r w:rsidR="00AE4A03" w:rsidRPr="00A013EE">
        <w:rPr>
          <w:color w:val="000000" w:themeColor="text1"/>
        </w:rPr>
        <w:t>, sans que sa famille ne reçoive d’informations fiables sur sa situation malgré des demandes formelles.</w:t>
      </w:r>
      <w:r w:rsidR="00E44903">
        <w:rPr>
          <w:rStyle w:val="FootnoteReference"/>
          <w:color w:val="000000" w:themeColor="text1"/>
        </w:rPr>
        <w:footnoteReference w:id="11"/>
      </w:r>
      <w:r w:rsidR="00F2585E">
        <w:rPr>
          <w:color w:val="000000" w:themeColor="text1"/>
        </w:rPr>
        <w:t xml:space="preserve"> </w:t>
      </w:r>
      <w:r w:rsidR="00CF6609">
        <w:rPr>
          <w:color w:val="000000" w:themeColor="text1"/>
        </w:rPr>
        <w:t>Il a finalement été libéré trois mois plus tard, le 15 novembre 2024.</w:t>
      </w:r>
      <w:r w:rsidR="00CF6609">
        <w:rPr>
          <w:rStyle w:val="FootnoteReference"/>
          <w:color w:val="000000" w:themeColor="text1"/>
        </w:rPr>
        <w:footnoteReference w:id="12"/>
      </w:r>
    </w:p>
    <w:p w14:paraId="04F783D8" w14:textId="6046D399" w:rsidR="00475B65" w:rsidRPr="00BA08C6" w:rsidRDefault="00475B65" w:rsidP="00BA08C6">
      <w:pPr>
        <w:pStyle w:val="ListParagraph"/>
        <w:numPr>
          <w:ilvl w:val="0"/>
          <w:numId w:val="24"/>
        </w:numPr>
        <w:spacing w:before="100" w:beforeAutospacing="1" w:after="100" w:afterAutospacing="1"/>
        <w:jc w:val="both"/>
        <w:outlineLvl w:val="3"/>
        <w:rPr>
          <w:b/>
          <w:bCs/>
          <w:color w:val="000000" w:themeColor="text1"/>
          <w:lang w:val="fr-FR" w:eastAsia="fr-FR"/>
        </w:rPr>
      </w:pPr>
      <w:r w:rsidRPr="00BA08C6">
        <w:rPr>
          <w:b/>
          <w:bCs/>
          <w:color w:val="000000" w:themeColor="text1"/>
          <w:lang w:val="fr-FR" w:eastAsia="fr-FR"/>
        </w:rPr>
        <w:t>Absence d’enquêtes indépendantes et information aux familles</w:t>
      </w:r>
    </w:p>
    <w:p w14:paraId="1F5E5642" w14:textId="4AA3C55F" w:rsidR="00475B65" w:rsidRPr="00A013EE" w:rsidRDefault="00475B65" w:rsidP="00A013EE">
      <w:pPr>
        <w:pStyle w:val="NormalWeb"/>
        <w:jc w:val="both"/>
        <w:rPr>
          <w:color w:val="000000" w:themeColor="text1"/>
          <w:lang w:val="fr-FR" w:eastAsia="fr-FR"/>
        </w:rPr>
      </w:pPr>
      <w:r w:rsidRPr="00A013EE">
        <w:rPr>
          <w:color w:val="000000" w:themeColor="text1"/>
          <w:lang w:val="fr-FR" w:eastAsia="fr-FR"/>
        </w:rPr>
        <w:t xml:space="preserve">Jusqu’à présent, </w:t>
      </w:r>
      <w:r w:rsidRPr="00A013EE">
        <w:rPr>
          <w:bCs/>
          <w:color w:val="000000" w:themeColor="text1"/>
          <w:lang w:val="fr-FR" w:eastAsia="fr-FR"/>
        </w:rPr>
        <w:t>aucune enquête judiciaire indépendante, transparente et efficace n’a été ouverte</w:t>
      </w:r>
      <w:r w:rsidRPr="00A013EE">
        <w:rPr>
          <w:color w:val="000000" w:themeColor="text1"/>
          <w:lang w:val="fr-FR" w:eastAsia="fr-FR"/>
        </w:rPr>
        <w:t xml:space="preserve"> pour toutes ces allégations de disparitions forcées, que ce soit pour les cas d’octobre 2022 ou pour d’autres dossiers contemporains. Malgré les appels des victimes, de la société civile et d’organisations internationales pour que les autorités procèdent à l’identification des responsables et à la communication d’informations aux familles, l’accès à la justice demeure largement entravé par le manque de moyens, l’absence de volonté politique déclarée et le contexte général d’impunité.</w:t>
      </w:r>
    </w:p>
    <w:p w14:paraId="011FD695" w14:textId="30E6C316" w:rsidR="00475B65" w:rsidRPr="00A013EE" w:rsidRDefault="00475B65" w:rsidP="00A013EE">
      <w:pPr>
        <w:spacing w:before="100" w:beforeAutospacing="1" w:after="100" w:afterAutospacing="1"/>
        <w:jc w:val="both"/>
        <w:rPr>
          <w:color w:val="000000" w:themeColor="text1"/>
          <w:lang w:val="fr-FR" w:eastAsia="fr-FR"/>
        </w:rPr>
      </w:pPr>
      <w:r w:rsidRPr="00A013EE">
        <w:rPr>
          <w:color w:val="000000" w:themeColor="text1"/>
          <w:lang w:val="fr-FR" w:eastAsia="fr-FR"/>
        </w:rPr>
        <w:t xml:space="preserve">Ces lacunes ont également été relevées par des mécanismes régionaux : par exemple, la </w:t>
      </w:r>
      <w:r w:rsidRPr="00A013EE">
        <w:rPr>
          <w:b/>
          <w:bCs/>
          <w:color w:val="000000" w:themeColor="text1"/>
          <w:lang w:val="fr-FR" w:eastAsia="fr-FR"/>
        </w:rPr>
        <w:t>Commission africaine des droits de l’homme et des peuples</w:t>
      </w:r>
      <w:r w:rsidRPr="00A013EE">
        <w:rPr>
          <w:color w:val="000000" w:themeColor="text1"/>
          <w:lang w:val="fr-FR" w:eastAsia="fr-FR"/>
        </w:rPr>
        <w:t xml:space="preserve"> a appelé à des enquêtes rapides, crédibles et indépendantes sur les événements violents, y compris sur les allégations de disparitions, tout en condamnant le recours excessif à la force par les forces de sécurité.</w:t>
      </w:r>
      <w:r w:rsidR="008E1A4E" w:rsidRPr="00A013EE">
        <w:rPr>
          <w:rStyle w:val="FootnoteReference"/>
          <w:color w:val="000000" w:themeColor="text1"/>
          <w:lang w:val="fr-FR" w:eastAsia="fr-FR"/>
        </w:rPr>
        <w:footnoteReference w:id="13"/>
      </w:r>
    </w:p>
    <w:p w14:paraId="3D77B2E0" w14:textId="1F225B17" w:rsidR="00475B65" w:rsidRPr="00A013EE" w:rsidRDefault="00475B65" w:rsidP="00A013EE">
      <w:pPr>
        <w:pStyle w:val="ListParagraph"/>
        <w:numPr>
          <w:ilvl w:val="0"/>
          <w:numId w:val="24"/>
        </w:numPr>
        <w:spacing w:before="100" w:beforeAutospacing="1" w:after="100" w:afterAutospacing="1"/>
        <w:jc w:val="both"/>
        <w:outlineLvl w:val="3"/>
        <w:rPr>
          <w:b/>
          <w:bCs/>
          <w:color w:val="000000" w:themeColor="text1"/>
          <w:lang w:val="fr-FR" w:eastAsia="fr-FR"/>
        </w:rPr>
      </w:pPr>
      <w:r w:rsidRPr="00A013EE">
        <w:rPr>
          <w:b/>
          <w:bCs/>
          <w:color w:val="000000" w:themeColor="text1"/>
          <w:lang w:val="fr-FR" w:eastAsia="fr-FR"/>
        </w:rPr>
        <w:t>Mesures prévues selon l’Accord de paix de Doha et le Dialogue national inclusif et souverain de 2022</w:t>
      </w:r>
    </w:p>
    <w:p w14:paraId="5EDBD405" w14:textId="578A07B4" w:rsidR="00475B65" w:rsidRPr="00A013EE" w:rsidRDefault="00475B65" w:rsidP="00A013EE">
      <w:pPr>
        <w:pStyle w:val="NormalWeb"/>
        <w:jc w:val="both"/>
        <w:rPr>
          <w:color w:val="000000" w:themeColor="text1"/>
          <w:lang w:val="fr-FR" w:eastAsia="fr-FR"/>
        </w:rPr>
      </w:pPr>
      <w:r w:rsidRPr="00A013EE">
        <w:rPr>
          <w:color w:val="000000" w:themeColor="text1"/>
          <w:lang w:val="fr-FR" w:eastAsia="fr-FR"/>
        </w:rPr>
        <w:t>Dans le cadre de l’</w:t>
      </w:r>
      <w:r w:rsidRPr="00A013EE">
        <w:rPr>
          <w:b/>
          <w:bCs/>
          <w:color w:val="000000" w:themeColor="text1"/>
          <w:lang w:val="fr-FR" w:eastAsia="fr-FR"/>
        </w:rPr>
        <w:t>Accord de paix de Doha</w:t>
      </w:r>
      <w:r w:rsidRPr="00A013EE">
        <w:rPr>
          <w:color w:val="000000" w:themeColor="text1"/>
          <w:lang w:val="fr-FR" w:eastAsia="fr-FR"/>
        </w:rPr>
        <w:t xml:space="preserve"> signé le 8 août 2022</w:t>
      </w:r>
      <w:r w:rsidR="00C45486">
        <w:rPr>
          <w:rStyle w:val="FootnoteReference"/>
          <w:color w:val="000000" w:themeColor="text1"/>
          <w:lang w:val="fr-FR" w:eastAsia="fr-FR"/>
        </w:rPr>
        <w:footnoteReference w:id="14"/>
      </w:r>
      <w:r w:rsidRPr="00A013EE">
        <w:rPr>
          <w:color w:val="000000" w:themeColor="text1"/>
          <w:lang w:val="fr-FR" w:eastAsia="fr-FR"/>
        </w:rPr>
        <w:t xml:space="preserve"> entre le gouvernement tchadien de transition et une trentaine de mouvements politico</w:t>
      </w:r>
      <w:r w:rsidRPr="00A013EE">
        <w:rPr>
          <w:color w:val="000000" w:themeColor="text1"/>
          <w:lang w:val="fr-FR" w:eastAsia="fr-FR"/>
        </w:rPr>
        <w:noBreakHyphen/>
        <w:t xml:space="preserve">militaires, plusieurs mécanismes de dialogue et de réconciliation ont été prévus pour soutenir la transition politique et le retour à la paix nationale, notamment la mise en place d’un </w:t>
      </w:r>
      <w:r w:rsidRPr="00A013EE">
        <w:rPr>
          <w:bCs/>
          <w:color w:val="000000" w:themeColor="text1"/>
          <w:lang w:val="fr-FR" w:eastAsia="fr-FR"/>
        </w:rPr>
        <w:t>Dialogue national inclusif et souverain</w:t>
      </w:r>
      <w:r w:rsidRPr="00A013EE">
        <w:rPr>
          <w:color w:val="000000" w:themeColor="text1"/>
          <w:lang w:val="fr-FR" w:eastAsia="fr-FR"/>
        </w:rPr>
        <w:t xml:space="preserve"> qui devait s’ouvrir à N’Djamena. Cet accord visait à intégrer divers acteurs politiques et sociaux dans le processus de reconstruction après des décennies de conflit et de tensions internes, bien qu’il n’ait pas inclus l’ensemble des groupes rebelles ou acteurs civils.</w:t>
      </w:r>
    </w:p>
    <w:p w14:paraId="72C2160C" w14:textId="6CE250B8" w:rsidR="00475B65" w:rsidRPr="00A013EE" w:rsidRDefault="00475B65" w:rsidP="00A013EE">
      <w:pPr>
        <w:pStyle w:val="NormalWeb"/>
        <w:jc w:val="both"/>
        <w:rPr>
          <w:color w:val="000000" w:themeColor="text1"/>
          <w:lang w:val="fr-FR" w:eastAsia="fr-FR"/>
        </w:rPr>
      </w:pPr>
      <w:r w:rsidRPr="00A013EE">
        <w:rPr>
          <w:color w:val="000000" w:themeColor="text1"/>
          <w:lang w:val="fr-FR" w:eastAsia="fr-FR"/>
        </w:rPr>
        <w:t xml:space="preserve">Bien que l’accord et le dialogue national aient prévu des mesures de réconciliation, </w:t>
      </w:r>
      <w:r w:rsidRPr="00A013EE">
        <w:rPr>
          <w:bCs/>
          <w:color w:val="000000" w:themeColor="text1"/>
          <w:lang w:val="fr-FR" w:eastAsia="fr-FR"/>
        </w:rPr>
        <w:t>ils n’ont pas donné lieu, à ce jour, à la mise en place effective d’une commission d’enquête indépendante chargée d’examiner les allégations de disparitions forcées et autres violations graves des droits humains</w:t>
      </w:r>
      <w:r w:rsidRPr="00A013EE">
        <w:rPr>
          <w:color w:val="000000" w:themeColor="text1"/>
          <w:lang w:val="fr-FR" w:eastAsia="fr-FR"/>
        </w:rPr>
        <w:t>. Aucune institution ou mécanisme spécifique d’investigation, autonome et doté de pouvoirs judiciaires, n’a été officiellement institué ou rendu opérationnel pour ce type de mission, ce qui laisse un vide institutionnel sur la réponse institutionnelle aux disparitions.</w:t>
      </w:r>
    </w:p>
    <w:tbl>
      <w:tblPr>
        <w:tblStyle w:val="TableGrid"/>
        <w:tblW w:w="0" w:type="auto"/>
        <w:tblLook w:val="04A0" w:firstRow="1" w:lastRow="0" w:firstColumn="1" w:lastColumn="0" w:noHBand="0" w:noVBand="1"/>
      </w:tblPr>
      <w:tblGrid>
        <w:gridCol w:w="9062"/>
      </w:tblGrid>
      <w:tr w:rsidR="00FE2AD8" w14:paraId="2DC05438" w14:textId="77777777" w:rsidTr="00FE2AD8">
        <w:tc>
          <w:tcPr>
            <w:tcW w:w="9062" w:type="dxa"/>
          </w:tcPr>
          <w:p w14:paraId="749AF1CF" w14:textId="18E4C845" w:rsidR="00DF3992" w:rsidRDefault="00475B65" w:rsidP="008E1A4E">
            <w:pPr>
              <w:spacing w:before="100" w:beforeAutospacing="1" w:after="100" w:afterAutospacing="1"/>
              <w:jc w:val="both"/>
              <w:rPr>
                <w:color w:val="000000" w:themeColor="text1"/>
                <w:lang w:val="fr-FR" w:eastAsia="fr-FR"/>
              </w:rPr>
            </w:pPr>
            <w:r w:rsidRPr="00A013EE">
              <w:rPr>
                <w:color w:val="000000" w:themeColor="text1"/>
                <w:lang w:val="fr-FR" w:eastAsia="fr-FR"/>
              </w:rPr>
              <w:t>En pratique, si des commissions ad hoc ou régionales ont été évoquées dans le contexte des négociations politiques notamment sous l’égide de la Communauté économique des États de l’Afrique centrale (CEEAC) ou dans le cadre de facilitation pour le dialogue</w:t>
            </w:r>
            <w:r w:rsidR="00C45486" w:rsidRPr="00A013EE">
              <w:rPr>
                <w:color w:val="000000" w:themeColor="text1"/>
                <w:lang w:val="fr-FR" w:eastAsia="fr-FR"/>
              </w:rPr>
              <w:t>, comme mentionné plus haut</w:t>
            </w:r>
            <w:r w:rsidRPr="00A013EE">
              <w:rPr>
                <w:color w:val="000000" w:themeColor="text1"/>
                <w:lang w:val="fr-FR" w:eastAsia="fr-FR"/>
              </w:rPr>
              <w:t xml:space="preserve"> leurs travaux n’ont pas encore débouché sur des </w:t>
            </w:r>
            <w:r w:rsidRPr="00A013EE">
              <w:rPr>
                <w:bCs/>
                <w:color w:val="000000" w:themeColor="text1"/>
                <w:lang w:val="fr-FR" w:eastAsia="fr-FR"/>
              </w:rPr>
              <w:t>rapports publics d’enquête crédibles et exhaustifs</w:t>
            </w:r>
            <w:r w:rsidRPr="00A013EE">
              <w:rPr>
                <w:color w:val="000000" w:themeColor="text1"/>
                <w:lang w:val="fr-FR" w:eastAsia="fr-FR"/>
              </w:rPr>
              <w:t xml:space="preserve"> sur les disparitions forcées ou sur la situation générale des violations des droits humains liées aux événements de 2022.</w:t>
            </w:r>
          </w:p>
          <w:p w14:paraId="593DC95B" w14:textId="198DD78D" w:rsidR="00FE2AD8" w:rsidRDefault="00FE2AD8" w:rsidP="008E1A4E">
            <w:pPr>
              <w:spacing w:before="100" w:beforeAutospacing="1" w:after="100" w:afterAutospacing="1"/>
              <w:jc w:val="both"/>
              <w:rPr>
                <w:color w:val="000000" w:themeColor="text1"/>
                <w:lang w:val="fr-FR" w:eastAsia="fr-FR"/>
              </w:rPr>
            </w:pPr>
            <w:r>
              <w:rPr>
                <w:color w:val="000000" w:themeColor="text1"/>
                <w:lang w:val="fr-FR" w:eastAsia="fr-FR"/>
              </w:rPr>
              <w:lastRenderedPageBreak/>
              <w:t>Recommandation</w:t>
            </w:r>
            <w:r w:rsidR="00703676">
              <w:rPr>
                <w:color w:val="000000" w:themeColor="text1"/>
                <w:lang w:val="fr-FR" w:eastAsia="fr-FR"/>
              </w:rPr>
              <w:t>s</w:t>
            </w:r>
            <w:r>
              <w:rPr>
                <w:color w:val="000000" w:themeColor="text1"/>
                <w:lang w:val="fr-FR" w:eastAsia="fr-FR"/>
              </w:rPr>
              <w:t> :</w:t>
            </w:r>
          </w:p>
          <w:p w14:paraId="13A2B3F2" w14:textId="77777777" w:rsidR="00FE2AD8" w:rsidRPr="00A013EE" w:rsidRDefault="00FE2AD8" w:rsidP="00FE2AD8">
            <w:pPr>
              <w:pStyle w:val="ListParagraph"/>
              <w:numPr>
                <w:ilvl w:val="0"/>
                <w:numId w:val="35"/>
              </w:numPr>
              <w:spacing w:before="100" w:beforeAutospacing="1" w:after="100" w:afterAutospacing="1"/>
              <w:jc w:val="both"/>
              <w:rPr>
                <w:color w:val="000000" w:themeColor="text1"/>
                <w:lang w:val="fr-FR" w:eastAsia="fr-FR"/>
              </w:rPr>
            </w:pPr>
            <w:r>
              <w:t>Mettre en place, sans délai, une commission d’enquête indépendante, impartiale et dotée de pouvoirs effectifs d’investigation, chargée d’examiner l’ensemble des allégations de disparitions forcées liées aux événements du 20 octobre 2022 ainsi que les cas récents, d’identifier les responsabilités et de rendre publics ses résultats ;</w:t>
            </w:r>
          </w:p>
          <w:p w14:paraId="0A860735" w14:textId="20680DF6" w:rsidR="00FE2AD8" w:rsidRPr="00A013EE" w:rsidRDefault="00FE2AD8" w:rsidP="00FE2AD8">
            <w:pPr>
              <w:pStyle w:val="ListParagraph"/>
              <w:numPr>
                <w:ilvl w:val="0"/>
                <w:numId w:val="35"/>
              </w:numPr>
              <w:spacing w:before="100" w:beforeAutospacing="1" w:after="100" w:afterAutospacing="1"/>
              <w:jc w:val="both"/>
              <w:rPr>
                <w:color w:val="000000" w:themeColor="text1"/>
                <w:lang w:val="fr-FR" w:eastAsia="fr-FR"/>
              </w:rPr>
            </w:pPr>
            <w:r>
              <w:rPr>
                <w:color w:val="000000" w:themeColor="text1"/>
                <w:lang w:val="fr-FR" w:eastAsia="fr-FR"/>
              </w:rPr>
              <w:t>Garantir aux familles des personnes disparues l’accès à des informations complètes sur le sort et la localisation de leurs proches, garantir des enquêtes judiciaires effectives et permettre des recours utiles et des réparations ;</w:t>
            </w:r>
          </w:p>
          <w:p w14:paraId="6F5BBF21" w14:textId="305E8AE7" w:rsidR="00FE2AD8" w:rsidRPr="00FE2AD8" w:rsidRDefault="00FE2AD8" w:rsidP="00A013EE">
            <w:pPr>
              <w:pStyle w:val="ListParagraph"/>
              <w:numPr>
                <w:ilvl w:val="0"/>
                <w:numId w:val="35"/>
              </w:numPr>
              <w:spacing w:before="100" w:beforeAutospacing="1" w:after="100" w:afterAutospacing="1"/>
              <w:jc w:val="both"/>
              <w:rPr>
                <w:color w:val="000000" w:themeColor="text1"/>
                <w:lang w:val="fr-FR" w:eastAsia="fr-FR"/>
              </w:rPr>
            </w:pPr>
            <w:r>
              <w:t>Mettre en œuvre les engagements issus de l’Accord de Doha et du Dialogue national inclusif en intégrant explicitement les disparitions forcées dans des mécanismes crédibles de vérité, de justice et de réparation conformes au PIDCP.</w:t>
            </w:r>
          </w:p>
        </w:tc>
      </w:tr>
    </w:tbl>
    <w:p w14:paraId="7A0CFE83" w14:textId="77777777" w:rsidR="00475B65" w:rsidRPr="004A0067" w:rsidRDefault="00475B65" w:rsidP="00A013EE">
      <w:pPr>
        <w:pStyle w:val="NormalWeb"/>
        <w:spacing w:before="0" w:beforeAutospacing="0" w:after="0" w:afterAutospacing="0" w:line="276" w:lineRule="auto"/>
        <w:rPr>
          <w:rStyle w:val="Strong"/>
          <w:rFonts w:eastAsiaTheme="majorEastAsia"/>
          <w:b w:val="0"/>
          <w:bCs w:val="0"/>
          <w:color w:val="000000"/>
        </w:rPr>
      </w:pPr>
    </w:p>
    <w:p w14:paraId="59AD2039" w14:textId="78245939" w:rsidR="00BB1BFD" w:rsidRPr="00A013EE" w:rsidRDefault="00C16A50" w:rsidP="00A013EE">
      <w:pPr>
        <w:pStyle w:val="NormalWeb"/>
        <w:numPr>
          <w:ilvl w:val="0"/>
          <w:numId w:val="15"/>
        </w:numPr>
        <w:spacing w:before="0" w:beforeAutospacing="0" w:after="0" w:afterAutospacing="0" w:line="276" w:lineRule="auto"/>
        <w:rPr>
          <w:rStyle w:val="apple-converted-space"/>
          <w:rFonts w:eastAsiaTheme="majorEastAsia"/>
          <w:color w:val="000000"/>
          <w:u w:val="single"/>
        </w:rPr>
      </w:pPr>
      <w:r>
        <w:rPr>
          <w:rStyle w:val="Strong"/>
          <w:rFonts w:eastAsiaTheme="majorEastAsia"/>
          <w:color w:val="000000"/>
          <w:u w:val="single"/>
        </w:rPr>
        <w:t>Interdiction de la torture et des mauvais traitements et l</w:t>
      </w:r>
      <w:r w:rsidRPr="00C16A50">
        <w:rPr>
          <w:rStyle w:val="Strong"/>
          <w:rFonts w:eastAsiaTheme="majorEastAsia"/>
          <w:color w:val="000000"/>
          <w:u w:val="single"/>
        </w:rPr>
        <w:t>iberté et sécurité de la personne</w:t>
      </w:r>
      <w:r>
        <w:rPr>
          <w:rStyle w:val="Strong"/>
          <w:rFonts w:eastAsiaTheme="majorEastAsia"/>
          <w:color w:val="000000"/>
          <w:u w:val="single"/>
        </w:rPr>
        <w:t xml:space="preserve"> (articles 6, 7, 9 et 10) </w:t>
      </w:r>
    </w:p>
    <w:p w14:paraId="1B0D0A38" w14:textId="04AD9C6B" w:rsidR="00E660C6" w:rsidRPr="0024207E" w:rsidRDefault="00E660C6" w:rsidP="00E660C6">
      <w:pPr>
        <w:pStyle w:val="NormalWeb"/>
        <w:jc w:val="both"/>
        <w:rPr>
          <w:color w:val="000000" w:themeColor="text1"/>
          <w:lang w:val="fr-FR" w:eastAsia="fr-FR"/>
        </w:rPr>
      </w:pPr>
      <w:r>
        <w:rPr>
          <w:color w:val="000000" w:themeColor="text1"/>
          <w:lang w:val="fr-FR" w:eastAsia="fr-FR"/>
        </w:rPr>
        <w:t xml:space="preserve">Dans le contexte des </w:t>
      </w:r>
      <w:r w:rsidRPr="00D66BE0">
        <w:rPr>
          <w:b/>
          <w:bCs/>
          <w:color w:val="000000" w:themeColor="text1"/>
          <w:lang w:val="fr-FR" w:eastAsia="fr-FR"/>
        </w:rPr>
        <w:t>manifestations du 20 octobre 2022</w:t>
      </w:r>
      <w:r w:rsidRPr="0024207E">
        <w:rPr>
          <w:color w:val="000000" w:themeColor="text1"/>
          <w:lang w:val="fr-FR" w:eastAsia="fr-FR"/>
        </w:rPr>
        <w:t>, ont été documentés par les organisations signataires</w:t>
      </w:r>
      <w:r>
        <w:rPr>
          <w:rStyle w:val="FootnoteReference"/>
          <w:color w:val="000000" w:themeColor="text1"/>
          <w:lang w:val="fr-FR" w:eastAsia="fr-FR"/>
        </w:rPr>
        <w:footnoteReference w:id="15"/>
      </w:r>
      <w:r>
        <w:rPr>
          <w:color w:val="000000" w:themeColor="text1"/>
          <w:lang w:val="fr-FR" w:eastAsia="fr-FR"/>
        </w:rPr>
        <w:t xml:space="preserve"> et Human </w:t>
      </w:r>
      <w:proofErr w:type="spellStart"/>
      <w:r>
        <w:rPr>
          <w:color w:val="000000" w:themeColor="text1"/>
          <w:lang w:val="fr-FR" w:eastAsia="fr-FR"/>
        </w:rPr>
        <w:t>Rights</w:t>
      </w:r>
      <w:proofErr w:type="spellEnd"/>
      <w:r>
        <w:rPr>
          <w:color w:val="000000" w:themeColor="text1"/>
          <w:lang w:val="fr-FR" w:eastAsia="fr-FR"/>
        </w:rPr>
        <w:t xml:space="preserve"> Watch</w:t>
      </w:r>
      <w:r>
        <w:rPr>
          <w:rStyle w:val="FootnoteReference"/>
          <w:color w:val="000000" w:themeColor="text1"/>
          <w:lang w:val="fr-FR" w:eastAsia="fr-FR"/>
        </w:rPr>
        <w:footnoteReference w:id="16"/>
      </w:r>
      <w:r>
        <w:rPr>
          <w:b/>
          <w:bCs/>
          <w:color w:val="000000" w:themeColor="text1"/>
          <w:lang w:val="fr-FR" w:eastAsia="fr-FR"/>
        </w:rPr>
        <w:t xml:space="preserve"> </w:t>
      </w:r>
      <w:r w:rsidRPr="0024207E">
        <w:rPr>
          <w:color w:val="000000" w:themeColor="text1"/>
          <w:lang w:val="fr-FR" w:eastAsia="fr-FR"/>
        </w:rPr>
        <w:t xml:space="preserve">des actes graves de torture, de mauvais traitements et de conditions inhumaines. </w:t>
      </w:r>
      <w:r w:rsidR="00354529">
        <w:rPr>
          <w:color w:val="000000" w:themeColor="text1"/>
          <w:lang w:val="fr-FR" w:eastAsia="fr-FR"/>
        </w:rPr>
        <w:t>Des centaines de</w:t>
      </w:r>
      <w:r w:rsidRPr="0024207E">
        <w:rPr>
          <w:color w:val="000000" w:themeColor="text1"/>
          <w:lang w:val="fr-FR" w:eastAsia="fr-FR"/>
        </w:rPr>
        <w:t xml:space="preserve"> détenus ont été transférés de manière arbitraire à la prison isolée de </w:t>
      </w:r>
      <w:r w:rsidRPr="0024207E">
        <w:rPr>
          <w:i/>
          <w:iCs/>
          <w:color w:val="000000" w:themeColor="text1"/>
          <w:lang w:val="fr-FR" w:eastAsia="fr-FR"/>
        </w:rPr>
        <w:t>Koro Toro</w:t>
      </w:r>
      <w:r w:rsidRPr="0024207E">
        <w:rPr>
          <w:color w:val="000000" w:themeColor="text1"/>
          <w:lang w:val="fr-FR" w:eastAsia="fr-FR"/>
        </w:rPr>
        <w:t xml:space="preserve">, dans des camions militaires, sans nourriture ni eau adéquate, certains mourant en route ou dans la prison. </w:t>
      </w:r>
      <w:r w:rsidR="00354529">
        <w:t xml:space="preserve">Selon les informations collectées par la LTDH auprès des personnes </w:t>
      </w:r>
      <w:proofErr w:type="spellStart"/>
      <w:r w:rsidR="00354529">
        <w:t>relachées</w:t>
      </w:r>
      <w:proofErr w:type="spellEnd"/>
      <w:r w:rsidR="00354529">
        <w:t xml:space="preserve"> de Koro Toro en décembre 2022, la torture a été pratiquée pour humilier, soustraire des informations ou pour intimider. De l’aveu même du gouvernement, 621 personnes dont 80 mineurs ont été arrêtées et conduites à Koro Toro. Ces arrestations ont été faites en dehors de tout cadre légal. </w:t>
      </w:r>
      <w:r w:rsidRPr="0024207E">
        <w:rPr>
          <w:color w:val="000000" w:themeColor="text1"/>
          <w:lang w:val="fr-FR" w:eastAsia="fr-FR"/>
        </w:rPr>
        <w:t>À leur arrivée</w:t>
      </w:r>
      <w:r w:rsidR="00354529">
        <w:rPr>
          <w:color w:val="000000" w:themeColor="text1"/>
          <w:lang w:val="fr-FR" w:eastAsia="fr-FR"/>
        </w:rPr>
        <w:t xml:space="preserve"> à la prison</w:t>
      </w:r>
      <w:r w:rsidRPr="0024207E">
        <w:rPr>
          <w:color w:val="000000" w:themeColor="text1"/>
          <w:lang w:val="fr-FR" w:eastAsia="fr-FR"/>
        </w:rPr>
        <w:t xml:space="preserve">, ils ont été soumis à des conditions de détention extrêmement dures, à des </w:t>
      </w:r>
      <w:proofErr w:type="spellStart"/>
      <w:r w:rsidRPr="0024207E">
        <w:rPr>
          <w:color w:val="000000" w:themeColor="text1"/>
          <w:lang w:val="fr-FR" w:eastAsia="fr-FR"/>
        </w:rPr>
        <w:t>shackles</w:t>
      </w:r>
      <w:proofErr w:type="spellEnd"/>
      <w:r w:rsidRPr="0024207E">
        <w:rPr>
          <w:color w:val="000000" w:themeColor="text1"/>
          <w:lang w:val="fr-FR" w:eastAsia="fr-FR"/>
        </w:rPr>
        <w:t>, au travail forcé sous la contrainte et</w:t>
      </w:r>
      <w:r w:rsidRPr="0024207E">
        <w:rPr>
          <w:rFonts w:hAnsi="Symbol"/>
          <w:color w:val="000000" w:themeColor="text1"/>
          <w:lang w:val="fr-FR" w:eastAsia="fr-FR"/>
        </w:rPr>
        <w:t xml:space="preserve"> </w:t>
      </w:r>
      <w:r w:rsidRPr="0024207E">
        <w:rPr>
          <w:color w:val="000000" w:themeColor="text1"/>
          <w:lang w:val="fr-FR" w:eastAsia="fr-FR"/>
        </w:rPr>
        <w:t xml:space="preserve">à une exposition régulière à des violences physiques. Dans plusieurs cas, des décès n’ont pas été officiellement signalés à leurs familles, et les restes n’ont pas été rendus aux proches pour des funérailles dignes. Ces </w:t>
      </w:r>
      <w:r>
        <w:rPr>
          <w:color w:val="000000" w:themeColor="text1"/>
          <w:lang w:val="fr-FR" w:eastAsia="fr-FR"/>
        </w:rPr>
        <w:t>faits</w:t>
      </w:r>
      <w:r w:rsidRPr="0024207E">
        <w:rPr>
          <w:color w:val="000000" w:themeColor="text1"/>
          <w:lang w:val="fr-FR" w:eastAsia="fr-FR"/>
        </w:rPr>
        <w:t xml:space="preserve"> constituent des violations claires de l’interdiction de la torture et des mauvais traitements. </w:t>
      </w:r>
    </w:p>
    <w:p w14:paraId="4F8F5249" w14:textId="1C33D37F" w:rsidR="00BB1BFD" w:rsidRDefault="007C763C" w:rsidP="00E660C6">
      <w:pPr>
        <w:pStyle w:val="NormalWeb"/>
        <w:spacing w:before="0" w:beforeAutospacing="0" w:after="0" w:afterAutospacing="0" w:line="276" w:lineRule="auto"/>
        <w:jc w:val="both"/>
        <w:rPr>
          <w:color w:val="000000" w:themeColor="text1"/>
        </w:rPr>
      </w:pPr>
      <w:r>
        <w:rPr>
          <w:color w:val="000000" w:themeColor="text1"/>
          <w:lang w:val="fr-FR" w:eastAsia="fr-FR"/>
        </w:rPr>
        <w:t>A ce jour, a</w:t>
      </w:r>
      <w:r w:rsidR="00E660C6" w:rsidRPr="0024207E">
        <w:rPr>
          <w:bCs/>
          <w:color w:val="000000" w:themeColor="text1"/>
          <w:lang w:val="fr-FR" w:eastAsia="fr-FR"/>
        </w:rPr>
        <w:t>ucun mécanisme national efficace, indépendant et doté de moyens suffisants n’a été mis en place</w:t>
      </w:r>
      <w:r w:rsidR="00E660C6" w:rsidRPr="0024207E">
        <w:rPr>
          <w:color w:val="000000" w:themeColor="text1"/>
          <w:lang w:val="fr-FR" w:eastAsia="fr-FR"/>
        </w:rPr>
        <w:t xml:space="preserve"> pour prévenir la torture, enquêter sur les allégations et </w:t>
      </w:r>
      <w:r w:rsidR="00354529">
        <w:rPr>
          <w:color w:val="000000" w:themeColor="text1"/>
          <w:lang w:val="fr-FR" w:eastAsia="fr-FR"/>
        </w:rPr>
        <w:t>poursuivre les</w:t>
      </w:r>
      <w:r w:rsidR="00E660C6" w:rsidRPr="0024207E">
        <w:rPr>
          <w:color w:val="000000" w:themeColor="text1"/>
          <w:lang w:val="fr-FR" w:eastAsia="fr-FR"/>
        </w:rPr>
        <w:t xml:space="preserve"> auteurs.</w:t>
      </w:r>
      <w:r w:rsidR="00E660C6">
        <w:rPr>
          <w:color w:val="000000" w:themeColor="text1"/>
        </w:rPr>
        <w:t xml:space="preserve"> </w:t>
      </w:r>
      <w:r w:rsidR="00354529">
        <w:rPr>
          <w:color w:val="000000" w:themeColor="text1"/>
        </w:rPr>
        <w:t>Comme mentionné plus haut, l</w:t>
      </w:r>
      <w:r w:rsidR="00E660C6" w:rsidRPr="0024207E">
        <w:rPr>
          <w:color w:val="000000" w:themeColor="text1"/>
        </w:rPr>
        <w:t>es autorités n’ont pas ouvert d’enquêtes judiciaires effectives et transparentes répondant aux normes internationales, ni communiqué de manière régulière et complète aux familles des victimes ou à la société civile.</w:t>
      </w:r>
    </w:p>
    <w:p w14:paraId="7FE5B6BB" w14:textId="09359264" w:rsidR="00E660C6" w:rsidRDefault="00E660C6" w:rsidP="00E660C6">
      <w:pPr>
        <w:pStyle w:val="NormalWeb"/>
        <w:spacing w:before="0" w:beforeAutospacing="0" w:after="0" w:afterAutospacing="0" w:line="276" w:lineRule="auto"/>
        <w:jc w:val="both"/>
        <w:rPr>
          <w:rStyle w:val="apple-converted-space"/>
          <w:rFonts w:eastAsiaTheme="majorEastAsia"/>
          <w:color w:val="000000"/>
        </w:rPr>
      </w:pPr>
      <w:r>
        <w:rPr>
          <w:color w:val="000000" w:themeColor="text1"/>
        </w:rPr>
        <w:t xml:space="preserve"> </w:t>
      </w:r>
    </w:p>
    <w:p w14:paraId="6D296945" w14:textId="36059C16" w:rsidR="00E23CB2" w:rsidRDefault="00BB1BFD" w:rsidP="00A013EE">
      <w:pPr>
        <w:pStyle w:val="NormalWeb"/>
        <w:spacing w:before="0" w:beforeAutospacing="0" w:after="0" w:afterAutospacing="0" w:line="276" w:lineRule="auto"/>
        <w:jc w:val="both"/>
        <w:rPr>
          <w:rStyle w:val="apple-converted-space"/>
          <w:rFonts w:eastAsiaTheme="majorEastAsia"/>
          <w:color w:val="000000"/>
        </w:rPr>
      </w:pPr>
      <w:r>
        <w:rPr>
          <w:rStyle w:val="apple-converted-space"/>
          <w:rFonts w:eastAsiaTheme="majorEastAsia"/>
          <w:color w:val="000000"/>
        </w:rPr>
        <w:t>Par ailleurs, l</w:t>
      </w:r>
      <w:r w:rsidR="00E23CB2">
        <w:rPr>
          <w:rStyle w:val="apple-converted-space"/>
          <w:rFonts w:eastAsiaTheme="majorEastAsia"/>
          <w:color w:val="000000"/>
        </w:rPr>
        <w:t>es organisations signataires ont documenté</w:t>
      </w:r>
      <w:r w:rsidR="00E23CB2" w:rsidRPr="0003607D">
        <w:rPr>
          <w:rStyle w:val="apple-converted-space"/>
          <w:rFonts w:eastAsiaTheme="majorEastAsia"/>
          <w:color w:val="000000"/>
        </w:rPr>
        <w:t xml:space="preserve"> des</w:t>
      </w:r>
      <w:r w:rsidR="00E23CB2">
        <w:rPr>
          <w:rStyle w:val="apple-converted-space"/>
          <w:rFonts w:eastAsiaTheme="majorEastAsia"/>
          <w:color w:val="000000"/>
        </w:rPr>
        <w:t xml:space="preserve"> cas</w:t>
      </w:r>
      <w:r w:rsidR="00E23CB2" w:rsidRPr="0003607D">
        <w:rPr>
          <w:rStyle w:val="apple-converted-space"/>
          <w:rFonts w:eastAsiaTheme="majorEastAsia"/>
          <w:color w:val="000000"/>
        </w:rPr>
        <w:t xml:space="preserve"> </w:t>
      </w:r>
      <w:r w:rsidR="00E23CB2">
        <w:rPr>
          <w:rStyle w:val="apple-converted-space"/>
          <w:rFonts w:eastAsiaTheme="majorEastAsia"/>
          <w:color w:val="000000"/>
        </w:rPr>
        <w:t>d’</w:t>
      </w:r>
      <w:r w:rsidR="00E23CB2" w:rsidRPr="0003607D">
        <w:rPr>
          <w:rStyle w:val="apple-converted-space"/>
          <w:rFonts w:eastAsiaTheme="majorEastAsia"/>
          <w:color w:val="000000"/>
        </w:rPr>
        <w:t>enlèvements, d</w:t>
      </w:r>
      <w:r w:rsidR="00E23CB2">
        <w:rPr>
          <w:rStyle w:val="apple-converted-space"/>
          <w:rFonts w:eastAsiaTheme="majorEastAsia"/>
          <w:color w:val="000000"/>
        </w:rPr>
        <w:t>’</w:t>
      </w:r>
      <w:r w:rsidR="00E23CB2" w:rsidRPr="0003607D">
        <w:rPr>
          <w:rStyle w:val="apple-converted-space"/>
          <w:rFonts w:eastAsiaTheme="majorEastAsia"/>
          <w:color w:val="000000"/>
        </w:rPr>
        <w:t>arrestations</w:t>
      </w:r>
      <w:r w:rsidR="00703676">
        <w:rPr>
          <w:rStyle w:val="apple-converted-space"/>
          <w:rFonts w:eastAsiaTheme="majorEastAsia"/>
          <w:color w:val="000000"/>
        </w:rPr>
        <w:t xml:space="preserve">, </w:t>
      </w:r>
      <w:r w:rsidR="00E23CB2" w:rsidRPr="0003607D">
        <w:rPr>
          <w:rStyle w:val="apple-converted-space"/>
          <w:rFonts w:eastAsiaTheme="majorEastAsia"/>
          <w:color w:val="000000"/>
        </w:rPr>
        <w:t xml:space="preserve">détentions arbitraires </w:t>
      </w:r>
      <w:r w:rsidR="007D65FC">
        <w:rPr>
          <w:rStyle w:val="apple-converted-space"/>
          <w:rFonts w:eastAsiaTheme="majorEastAsia"/>
          <w:color w:val="000000"/>
        </w:rPr>
        <w:t xml:space="preserve">et de torture </w:t>
      </w:r>
      <w:r w:rsidR="00E23CB2" w:rsidRPr="0003607D">
        <w:rPr>
          <w:rStyle w:val="apple-converted-space"/>
          <w:rFonts w:eastAsiaTheme="majorEastAsia"/>
          <w:color w:val="000000"/>
        </w:rPr>
        <w:t>de citoyens</w:t>
      </w:r>
      <w:r w:rsidR="00E23CB2">
        <w:rPr>
          <w:rStyle w:val="apple-converted-space"/>
          <w:rFonts w:eastAsiaTheme="majorEastAsia"/>
          <w:color w:val="000000"/>
        </w:rPr>
        <w:t xml:space="preserve">, défenseurs des droits humains et opposants </w:t>
      </w:r>
      <w:r w:rsidR="00E23CB2">
        <w:rPr>
          <w:rStyle w:val="apple-converted-space"/>
          <w:rFonts w:eastAsiaTheme="majorEastAsia"/>
          <w:color w:val="000000"/>
        </w:rPr>
        <w:lastRenderedPageBreak/>
        <w:t>politiques ces deux dernières années</w:t>
      </w:r>
      <w:r w:rsidR="00E23CB2" w:rsidRPr="0003607D">
        <w:rPr>
          <w:rStyle w:val="apple-converted-space"/>
          <w:rFonts w:eastAsiaTheme="majorEastAsia"/>
          <w:color w:val="000000"/>
        </w:rPr>
        <w:t>.</w:t>
      </w:r>
      <w:r w:rsidR="00E23CB2">
        <w:rPr>
          <w:rStyle w:val="apple-converted-space"/>
          <w:rFonts w:eastAsiaTheme="majorEastAsia"/>
          <w:color w:val="000000"/>
        </w:rPr>
        <w:t xml:space="preserve"> En particulier, depuis le début de l’année 2025, on note une </w:t>
      </w:r>
      <w:r w:rsidR="00E23CB2" w:rsidRPr="00A31157">
        <w:rPr>
          <w:rStyle w:val="apple-converted-space"/>
          <w:rFonts w:eastAsiaTheme="majorEastAsia"/>
          <w:color w:val="000000"/>
        </w:rPr>
        <w:t>multiplication des arrestations</w:t>
      </w:r>
      <w:r w:rsidR="00B80BC8">
        <w:rPr>
          <w:rStyle w:val="apple-converted-space"/>
          <w:rFonts w:eastAsiaTheme="majorEastAsia"/>
          <w:color w:val="000000"/>
        </w:rPr>
        <w:t xml:space="preserve"> et détention au secret</w:t>
      </w:r>
      <w:r w:rsidR="00E23CB2" w:rsidRPr="00A31157">
        <w:rPr>
          <w:rStyle w:val="apple-converted-space"/>
          <w:rFonts w:eastAsiaTheme="majorEastAsia"/>
          <w:color w:val="000000"/>
        </w:rPr>
        <w:t>, hors de toute procédure légale</w:t>
      </w:r>
      <w:r w:rsidR="00E23CB2">
        <w:rPr>
          <w:rStyle w:val="apple-converted-space"/>
          <w:rFonts w:eastAsiaTheme="majorEastAsia"/>
          <w:color w:val="000000"/>
        </w:rPr>
        <w:t>.</w:t>
      </w:r>
    </w:p>
    <w:p w14:paraId="79FAB78A" w14:textId="77777777" w:rsidR="00C16A50" w:rsidRPr="0003607D" w:rsidRDefault="00C16A50" w:rsidP="00A013EE">
      <w:pPr>
        <w:pStyle w:val="NormalWeb"/>
        <w:spacing w:before="0" w:beforeAutospacing="0" w:after="0" w:afterAutospacing="0" w:line="276" w:lineRule="auto"/>
        <w:rPr>
          <w:rStyle w:val="apple-converted-space"/>
          <w:rFonts w:eastAsiaTheme="majorEastAsia"/>
          <w:color w:val="000000"/>
        </w:rPr>
      </w:pPr>
    </w:p>
    <w:p w14:paraId="2C8D3961" w14:textId="1041B716" w:rsidR="00442528" w:rsidRPr="00E23CB2" w:rsidRDefault="000401AD" w:rsidP="00E23CB2">
      <w:pPr>
        <w:pStyle w:val="NormalWeb"/>
        <w:spacing w:before="0" w:beforeAutospacing="0" w:after="0" w:afterAutospacing="0" w:line="276" w:lineRule="auto"/>
        <w:jc w:val="both"/>
        <w:rPr>
          <w:rStyle w:val="Strong"/>
          <w:rFonts w:eastAsiaTheme="majorEastAsia"/>
          <w:b w:val="0"/>
          <w:bCs w:val="0"/>
          <w:color w:val="000000"/>
        </w:rPr>
      </w:pPr>
      <w:r>
        <w:rPr>
          <w:rStyle w:val="Strong"/>
          <w:rFonts w:eastAsiaTheme="majorEastAsia"/>
          <w:b w:val="0"/>
          <w:bCs w:val="0"/>
          <w:color w:val="000000"/>
        </w:rPr>
        <w:t xml:space="preserve">Ces violations sont </w:t>
      </w:r>
      <w:r w:rsidR="002D5D63">
        <w:rPr>
          <w:rStyle w:val="Strong"/>
          <w:rFonts w:eastAsiaTheme="majorEastAsia"/>
          <w:b w:val="0"/>
          <w:bCs w:val="0"/>
          <w:color w:val="000000"/>
        </w:rPr>
        <w:t>perpétrées</w:t>
      </w:r>
      <w:r>
        <w:rPr>
          <w:rStyle w:val="Strong"/>
          <w:rFonts w:eastAsiaTheme="majorEastAsia"/>
          <w:b w:val="0"/>
          <w:bCs w:val="0"/>
          <w:color w:val="000000"/>
        </w:rPr>
        <w:t xml:space="preserve"> </w:t>
      </w:r>
      <w:r w:rsidR="002D5D63">
        <w:rPr>
          <w:rStyle w:val="Strong"/>
          <w:rFonts w:eastAsiaTheme="majorEastAsia"/>
          <w:b w:val="0"/>
          <w:bCs w:val="0"/>
          <w:color w:val="000000"/>
        </w:rPr>
        <w:t xml:space="preserve">notamment </w:t>
      </w:r>
      <w:r>
        <w:rPr>
          <w:rStyle w:val="Strong"/>
          <w:rFonts w:eastAsiaTheme="majorEastAsia"/>
          <w:b w:val="0"/>
          <w:bCs w:val="0"/>
          <w:color w:val="000000"/>
        </w:rPr>
        <w:t>par l</w:t>
      </w:r>
      <w:r w:rsidR="00E23CB2" w:rsidRPr="00E23CB2">
        <w:rPr>
          <w:rStyle w:val="Strong"/>
          <w:rFonts w:eastAsiaTheme="majorEastAsia"/>
          <w:b w:val="0"/>
          <w:bCs w:val="0"/>
          <w:color w:val="000000"/>
        </w:rPr>
        <w:t xml:space="preserve">’Agence Nationale de Sécurité de l’État </w:t>
      </w:r>
      <w:r>
        <w:rPr>
          <w:rStyle w:val="Strong"/>
          <w:rFonts w:eastAsiaTheme="majorEastAsia"/>
          <w:b w:val="0"/>
          <w:bCs w:val="0"/>
          <w:color w:val="000000"/>
        </w:rPr>
        <w:t>(ANSE)</w:t>
      </w:r>
      <w:r w:rsidR="00DA4636">
        <w:rPr>
          <w:rStyle w:val="Strong"/>
          <w:rFonts w:eastAsiaTheme="majorEastAsia"/>
          <w:b w:val="0"/>
          <w:bCs w:val="0"/>
          <w:color w:val="000000"/>
        </w:rPr>
        <w:t xml:space="preserve"> qui</w:t>
      </w:r>
      <w:r>
        <w:rPr>
          <w:rStyle w:val="Strong"/>
          <w:rFonts w:eastAsiaTheme="majorEastAsia"/>
          <w:b w:val="0"/>
          <w:bCs w:val="0"/>
          <w:color w:val="000000"/>
        </w:rPr>
        <w:t xml:space="preserve"> </w:t>
      </w:r>
      <w:r>
        <w:t xml:space="preserve">a pour mandat d’assurer la protection de la sûreté de l’État tchadien en prévenant et réprimant les menaces contre la sécurité nationale, notamment l’espionnage, le terrorisme et les atteintes à l’ordre constitutionnel. </w:t>
      </w:r>
      <w:r>
        <w:rPr>
          <w:rStyle w:val="Strong"/>
          <w:rFonts w:eastAsiaTheme="majorEastAsia"/>
          <w:b w:val="0"/>
          <w:bCs w:val="0"/>
          <w:color w:val="000000"/>
        </w:rPr>
        <w:t xml:space="preserve">Cette agence </w:t>
      </w:r>
      <w:r w:rsidR="00E23CB2" w:rsidRPr="00E23CB2">
        <w:rPr>
          <w:rStyle w:val="Strong"/>
          <w:rFonts w:eastAsiaTheme="majorEastAsia"/>
          <w:b w:val="0"/>
          <w:bCs w:val="0"/>
          <w:color w:val="000000"/>
        </w:rPr>
        <w:t xml:space="preserve">est </w:t>
      </w:r>
      <w:r>
        <w:rPr>
          <w:rStyle w:val="Strong"/>
          <w:rFonts w:eastAsiaTheme="majorEastAsia"/>
          <w:b w:val="0"/>
          <w:bCs w:val="0"/>
          <w:color w:val="000000"/>
        </w:rPr>
        <w:t>l’</w:t>
      </w:r>
      <w:r w:rsidR="00E23CB2" w:rsidRPr="00E23CB2">
        <w:rPr>
          <w:rStyle w:val="Strong"/>
          <w:rFonts w:eastAsiaTheme="majorEastAsia"/>
          <w:b w:val="0"/>
          <w:bCs w:val="0"/>
          <w:color w:val="000000"/>
        </w:rPr>
        <w:t xml:space="preserve">un des acteurs du régime actuel responsable d’arrestations arbitraires et d’actes de torture sur </w:t>
      </w:r>
      <w:proofErr w:type="gramStart"/>
      <w:r w:rsidR="00E23CB2" w:rsidRPr="00E23CB2">
        <w:rPr>
          <w:rStyle w:val="Strong"/>
          <w:rFonts w:eastAsiaTheme="majorEastAsia"/>
          <w:b w:val="0"/>
          <w:bCs w:val="0"/>
          <w:color w:val="000000"/>
        </w:rPr>
        <w:t xml:space="preserve">les </w:t>
      </w:r>
      <w:proofErr w:type="spellStart"/>
      <w:r w:rsidR="00E23CB2" w:rsidRPr="00E23CB2">
        <w:rPr>
          <w:rStyle w:val="Strong"/>
          <w:rFonts w:eastAsiaTheme="majorEastAsia"/>
          <w:b w:val="0"/>
          <w:bCs w:val="0"/>
          <w:color w:val="000000"/>
        </w:rPr>
        <w:t>défenseur</w:t>
      </w:r>
      <w:proofErr w:type="gramEnd"/>
      <w:r w:rsidR="00E23CB2" w:rsidRPr="00E23CB2">
        <w:rPr>
          <w:rStyle w:val="Strong"/>
          <w:rFonts w:eastAsiaTheme="majorEastAsia"/>
          <w:b w:val="0"/>
          <w:bCs w:val="0"/>
          <w:color w:val="000000"/>
        </w:rPr>
        <w:t>·es</w:t>
      </w:r>
      <w:proofErr w:type="spellEnd"/>
      <w:r w:rsidR="00E23CB2" w:rsidRPr="00E23CB2">
        <w:rPr>
          <w:rStyle w:val="Strong"/>
          <w:rFonts w:eastAsiaTheme="majorEastAsia"/>
          <w:b w:val="0"/>
          <w:bCs w:val="0"/>
          <w:color w:val="000000"/>
        </w:rPr>
        <w:t xml:space="preserve"> des droits humains</w:t>
      </w:r>
      <w:r w:rsidR="00B654D9">
        <w:rPr>
          <w:rStyle w:val="Strong"/>
          <w:rFonts w:eastAsiaTheme="majorEastAsia"/>
          <w:b w:val="0"/>
          <w:bCs w:val="0"/>
          <w:color w:val="000000"/>
        </w:rPr>
        <w:t xml:space="preserve"> et opposants politiques</w:t>
      </w:r>
      <w:r w:rsidR="00E23CB2" w:rsidRPr="00E23CB2">
        <w:rPr>
          <w:rStyle w:val="Strong"/>
          <w:rFonts w:eastAsiaTheme="majorEastAsia"/>
          <w:b w:val="0"/>
          <w:bCs w:val="0"/>
          <w:color w:val="000000"/>
        </w:rPr>
        <w:t xml:space="preserve">. En vertu de son mandat large et vague de lutte contre la « subversion et de déstabilisation dirigées contre les intérêts de l’État et de la nation », les </w:t>
      </w:r>
      <w:proofErr w:type="spellStart"/>
      <w:r w:rsidR="00E23CB2" w:rsidRPr="00E23CB2">
        <w:rPr>
          <w:rStyle w:val="Strong"/>
          <w:rFonts w:eastAsiaTheme="majorEastAsia"/>
          <w:b w:val="0"/>
          <w:bCs w:val="0"/>
          <w:color w:val="000000"/>
        </w:rPr>
        <w:t>défenseur·es</w:t>
      </w:r>
      <w:proofErr w:type="spellEnd"/>
      <w:r w:rsidR="00E23CB2" w:rsidRPr="00E23CB2">
        <w:rPr>
          <w:rStyle w:val="Strong"/>
          <w:rFonts w:eastAsiaTheme="majorEastAsia"/>
          <w:b w:val="0"/>
          <w:bCs w:val="0"/>
          <w:color w:val="000000"/>
        </w:rPr>
        <w:t xml:space="preserve"> sont très souvent </w:t>
      </w:r>
      <w:proofErr w:type="spellStart"/>
      <w:r w:rsidR="00E23CB2" w:rsidRPr="00E23CB2">
        <w:rPr>
          <w:rStyle w:val="Strong"/>
          <w:rFonts w:eastAsiaTheme="majorEastAsia"/>
          <w:b w:val="0"/>
          <w:bCs w:val="0"/>
          <w:color w:val="000000"/>
        </w:rPr>
        <w:t>réprimé·es</w:t>
      </w:r>
      <w:proofErr w:type="spellEnd"/>
      <w:r w:rsidR="00E23CB2" w:rsidRPr="00E23CB2">
        <w:rPr>
          <w:rStyle w:val="Strong"/>
          <w:rFonts w:eastAsiaTheme="majorEastAsia"/>
          <w:b w:val="0"/>
          <w:bCs w:val="0"/>
          <w:color w:val="000000"/>
        </w:rPr>
        <w:t xml:space="preserve"> sur ce fondement par l’ANSE.</w:t>
      </w:r>
    </w:p>
    <w:p w14:paraId="20432F1F" w14:textId="77777777" w:rsidR="00442528" w:rsidRPr="0003607D" w:rsidRDefault="00442528" w:rsidP="00442528">
      <w:pPr>
        <w:pStyle w:val="NormalWeb"/>
        <w:spacing w:line="276" w:lineRule="auto"/>
        <w:jc w:val="both"/>
        <w:rPr>
          <w:rStyle w:val="apple-converted-space"/>
          <w:rFonts w:eastAsiaTheme="majorEastAsia"/>
          <w:color w:val="000000"/>
        </w:rPr>
      </w:pPr>
      <w:r>
        <w:rPr>
          <w:rStyle w:val="apple-converted-space"/>
          <w:rFonts w:eastAsiaTheme="majorEastAsia"/>
          <w:color w:val="000000"/>
        </w:rPr>
        <w:t>L</w:t>
      </w:r>
      <w:r w:rsidRPr="0003607D">
        <w:rPr>
          <w:rStyle w:val="apple-converted-space"/>
          <w:rFonts w:eastAsiaTheme="majorEastAsia"/>
          <w:color w:val="000000"/>
        </w:rPr>
        <w:t xml:space="preserve">es enlèvements se font par individus en armes, certains en tenues militaires et d’autres en civil à bord de véhicules non immatriculés. Ces derniers font irruption au domicile ou sur le lieu de travail, enlèvent les citoyens vers des destinations inconnues. Quelques cas pour illustration :   </w:t>
      </w:r>
    </w:p>
    <w:p w14:paraId="4C736E22" w14:textId="2B78A158" w:rsidR="00442528" w:rsidRPr="0003607D" w:rsidRDefault="00442528" w:rsidP="00442528">
      <w:pPr>
        <w:pStyle w:val="NormalWeb"/>
        <w:numPr>
          <w:ilvl w:val="2"/>
          <w:numId w:val="18"/>
        </w:numPr>
        <w:spacing w:line="276" w:lineRule="auto"/>
        <w:jc w:val="both"/>
        <w:rPr>
          <w:rStyle w:val="apple-converted-space"/>
          <w:rFonts w:eastAsiaTheme="majorEastAsia"/>
          <w:color w:val="000000"/>
        </w:rPr>
      </w:pPr>
      <w:r w:rsidRPr="00B654D9">
        <w:rPr>
          <w:rStyle w:val="apple-converted-space"/>
          <w:rFonts w:eastAsiaTheme="majorEastAsia"/>
          <w:b/>
          <w:bCs/>
          <w:color w:val="000000"/>
        </w:rPr>
        <w:t xml:space="preserve">M. Robert </w:t>
      </w:r>
      <w:proofErr w:type="spellStart"/>
      <w:r w:rsidRPr="00B654D9">
        <w:rPr>
          <w:rStyle w:val="apple-converted-space"/>
          <w:rFonts w:eastAsiaTheme="majorEastAsia"/>
          <w:b/>
          <w:bCs/>
          <w:color w:val="000000"/>
        </w:rPr>
        <w:t>Gam</w:t>
      </w:r>
      <w:proofErr w:type="spellEnd"/>
      <w:r w:rsidR="00E23CB2">
        <w:rPr>
          <w:rStyle w:val="apple-converted-space"/>
          <w:rFonts w:eastAsiaTheme="majorEastAsia"/>
          <w:color w:val="000000"/>
        </w:rPr>
        <w:t>,</w:t>
      </w:r>
      <w:r w:rsidRPr="0003607D">
        <w:rPr>
          <w:rStyle w:val="apple-converted-space"/>
          <w:rFonts w:eastAsiaTheme="majorEastAsia"/>
          <w:color w:val="000000"/>
        </w:rPr>
        <w:t xml:space="preserve"> Secrétaire Général du Parti Socialiste sans Fronti</w:t>
      </w:r>
      <w:r>
        <w:rPr>
          <w:rStyle w:val="apple-converted-space"/>
          <w:rFonts w:eastAsiaTheme="majorEastAsia"/>
          <w:color w:val="000000"/>
        </w:rPr>
        <w:t>ères</w:t>
      </w:r>
      <w:r w:rsidRPr="0003607D">
        <w:rPr>
          <w:rStyle w:val="apple-converted-space"/>
          <w:rFonts w:eastAsiaTheme="majorEastAsia"/>
          <w:color w:val="000000"/>
        </w:rPr>
        <w:t xml:space="preserve">, dont le Président M. Yaya </w:t>
      </w:r>
      <w:proofErr w:type="spellStart"/>
      <w:r w:rsidRPr="0003607D">
        <w:rPr>
          <w:rStyle w:val="apple-converted-space"/>
          <w:rFonts w:eastAsiaTheme="majorEastAsia"/>
          <w:color w:val="000000"/>
        </w:rPr>
        <w:t>Dilo</w:t>
      </w:r>
      <w:proofErr w:type="spellEnd"/>
      <w:r w:rsidRPr="0003607D">
        <w:rPr>
          <w:rStyle w:val="apple-converted-space"/>
          <w:rFonts w:eastAsiaTheme="majorEastAsia"/>
          <w:color w:val="000000"/>
        </w:rPr>
        <w:t xml:space="preserve"> a été assassiné en février 2024</w:t>
      </w:r>
      <w:r>
        <w:rPr>
          <w:rStyle w:val="apple-converted-space"/>
          <w:rFonts w:eastAsiaTheme="majorEastAsia"/>
          <w:color w:val="000000"/>
        </w:rPr>
        <w:t>, a été enlevé le 20 septembre 2024 et détenu dans les cellules de l'Agence Nationale de sécurité de l’</w:t>
      </w:r>
      <w:r w:rsidR="00E23CB2">
        <w:rPr>
          <w:rStyle w:val="apple-converted-space"/>
          <w:rFonts w:eastAsiaTheme="majorEastAsia"/>
          <w:color w:val="000000"/>
        </w:rPr>
        <w:t>État</w:t>
      </w:r>
      <w:r>
        <w:rPr>
          <w:rStyle w:val="apple-converted-space"/>
          <w:rFonts w:eastAsiaTheme="majorEastAsia"/>
          <w:color w:val="000000"/>
        </w:rPr>
        <w:t xml:space="preserve"> pendant 8 mois. Il a été libéré le 4 juin 2025. Les autorités n’ont fait aucun commentaire sur cet enlèvement.</w:t>
      </w:r>
      <w:r>
        <w:rPr>
          <w:rStyle w:val="FootnoteReference"/>
          <w:rFonts w:eastAsiaTheme="majorEastAsia"/>
          <w:color w:val="000000"/>
        </w:rPr>
        <w:footnoteReference w:id="17"/>
      </w:r>
    </w:p>
    <w:p w14:paraId="0354FF33" w14:textId="77777777" w:rsidR="00442528" w:rsidRPr="0003607D" w:rsidRDefault="00442528" w:rsidP="00442528">
      <w:pPr>
        <w:pStyle w:val="NormalWeb"/>
        <w:numPr>
          <w:ilvl w:val="2"/>
          <w:numId w:val="18"/>
        </w:numPr>
        <w:spacing w:line="276" w:lineRule="auto"/>
        <w:jc w:val="both"/>
        <w:rPr>
          <w:rStyle w:val="apple-converted-space"/>
          <w:rFonts w:eastAsiaTheme="majorEastAsia"/>
          <w:color w:val="000000"/>
        </w:rPr>
      </w:pPr>
      <w:r>
        <w:rPr>
          <w:rStyle w:val="apple-converted-space"/>
          <w:rFonts w:eastAsiaTheme="majorEastAsia"/>
          <w:color w:val="000000"/>
        </w:rPr>
        <w:t xml:space="preserve">Le 23 avril 2025, </w:t>
      </w:r>
      <w:r w:rsidRPr="00B654D9">
        <w:rPr>
          <w:rStyle w:val="apple-converted-space"/>
          <w:rFonts w:eastAsiaTheme="majorEastAsia"/>
          <w:b/>
          <w:bCs/>
          <w:color w:val="000000"/>
        </w:rPr>
        <w:t xml:space="preserve">M. </w:t>
      </w:r>
      <w:proofErr w:type="spellStart"/>
      <w:r w:rsidRPr="00B654D9">
        <w:rPr>
          <w:rStyle w:val="apple-converted-space"/>
          <w:rFonts w:eastAsiaTheme="majorEastAsia"/>
          <w:b/>
          <w:bCs/>
          <w:color w:val="000000"/>
        </w:rPr>
        <w:t>Eric</w:t>
      </w:r>
      <w:proofErr w:type="spellEnd"/>
      <w:r w:rsidRPr="00B654D9">
        <w:rPr>
          <w:rStyle w:val="apple-converted-space"/>
          <w:rFonts w:eastAsiaTheme="majorEastAsia"/>
          <w:b/>
          <w:bCs/>
          <w:color w:val="000000"/>
        </w:rPr>
        <w:t xml:space="preserve"> </w:t>
      </w:r>
      <w:proofErr w:type="spellStart"/>
      <w:r w:rsidRPr="00B654D9">
        <w:rPr>
          <w:rStyle w:val="apple-converted-space"/>
          <w:rFonts w:eastAsiaTheme="majorEastAsia"/>
          <w:b/>
          <w:bCs/>
          <w:color w:val="000000"/>
        </w:rPr>
        <w:t>Ndoassal</w:t>
      </w:r>
      <w:proofErr w:type="spellEnd"/>
      <w:r w:rsidRPr="0003607D">
        <w:rPr>
          <w:rStyle w:val="apple-converted-space"/>
          <w:rFonts w:eastAsiaTheme="majorEastAsia"/>
          <w:color w:val="000000"/>
        </w:rPr>
        <w:t xml:space="preserve">, </w:t>
      </w:r>
      <w:r>
        <w:rPr>
          <w:rStyle w:val="apple-converted-space"/>
          <w:rFonts w:eastAsiaTheme="majorEastAsia"/>
          <w:color w:val="000000"/>
        </w:rPr>
        <w:t xml:space="preserve">ex-Directeur général de la Société des Hydrocarbures du Tchad, a été </w:t>
      </w:r>
      <w:r w:rsidRPr="0003607D">
        <w:rPr>
          <w:rStyle w:val="apple-converted-space"/>
          <w:rFonts w:eastAsiaTheme="majorEastAsia"/>
          <w:color w:val="000000"/>
        </w:rPr>
        <w:t xml:space="preserve">enlevé par des hommes armés à son bureau à l’Hôtel Radisson </w:t>
      </w:r>
      <w:proofErr w:type="spellStart"/>
      <w:r w:rsidRPr="0003607D">
        <w:rPr>
          <w:rStyle w:val="apple-converted-space"/>
          <w:rFonts w:eastAsiaTheme="majorEastAsia"/>
          <w:color w:val="000000"/>
        </w:rPr>
        <w:t>Blu</w:t>
      </w:r>
      <w:proofErr w:type="spellEnd"/>
      <w:r>
        <w:rPr>
          <w:rStyle w:val="apple-converted-space"/>
          <w:rFonts w:eastAsiaTheme="majorEastAsia"/>
          <w:color w:val="000000"/>
        </w:rPr>
        <w:t>,</w:t>
      </w:r>
      <w:r w:rsidRPr="0003607D">
        <w:rPr>
          <w:rStyle w:val="apple-converted-space"/>
          <w:rFonts w:eastAsiaTheme="majorEastAsia"/>
          <w:color w:val="000000"/>
        </w:rPr>
        <w:t xml:space="preserve"> </w:t>
      </w:r>
      <w:r>
        <w:rPr>
          <w:rStyle w:val="apple-converted-space"/>
          <w:rFonts w:eastAsiaTheme="majorEastAsia"/>
          <w:color w:val="000000"/>
        </w:rPr>
        <w:t>et conduit vers</w:t>
      </w:r>
      <w:r w:rsidRPr="0003607D">
        <w:rPr>
          <w:rStyle w:val="apple-converted-space"/>
          <w:rFonts w:eastAsiaTheme="majorEastAsia"/>
          <w:color w:val="000000"/>
        </w:rPr>
        <w:t xml:space="preserve"> une d</w:t>
      </w:r>
      <w:r>
        <w:rPr>
          <w:rStyle w:val="apple-converted-space"/>
          <w:rFonts w:eastAsiaTheme="majorEastAsia"/>
          <w:color w:val="000000"/>
        </w:rPr>
        <w:t>estination</w:t>
      </w:r>
      <w:r w:rsidRPr="0003607D">
        <w:rPr>
          <w:rStyle w:val="apple-converted-space"/>
          <w:rFonts w:eastAsiaTheme="majorEastAsia"/>
          <w:color w:val="000000"/>
        </w:rPr>
        <w:t xml:space="preserve"> inconnu</w:t>
      </w:r>
      <w:r>
        <w:rPr>
          <w:rStyle w:val="apple-converted-space"/>
          <w:rFonts w:eastAsiaTheme="majorEastAsia"/>
          <w:color w:val="000000"/>
        </w:rPr>
        <w:t>e</w:t>
      </w:r>
      <w:r w:rsidRPr="0003607D">
        <w:rPr>
          <w:rStyle w:val="apple-converted-space"/>
          <w:rFonts w:eastAsiaTheme="majorEastAsia"/>
          <w:color w:val="000000"/>
        </w:rPr>
        <w:t>.</w:t>
      </w:r>
      <w:r>
        <w:rPr>
          <w:rStyle w:val="apple-converted-space"/>
          <w:rFonts w:eastAsiaTheme="majorEastAsia"/>
          <w:color w:val="000000"/>
        </w:rPr>
        <w:t xml:space="preserve"> A ce jour sa localisation reste inconnue.</w:t>
      </w:r>
      <w:r w:rsidRPr="0003607D">
        <w:rPr>
          <w:rStyle w:val="apple-converted-space"/>
          <w:rFonts w:eastAsiaTheme="majorEastAsia"/>
          <w:color w:val="000000"/>
        </w:rPr>
        <w:t xml:space="preserve">  </w:t>
      </w:r>
    </w:p>
    <w:p w14:paraId="6ECEE9C4" w14:textId="77777777" w:rsidR="00442528" w:rsidRPr="0003607D" w:rsidRDefault="00442528" w:rsidP="00442528">
      <w:pPr>
        <w:pStyle w:val="NormalWeb"/>
        <w:numPr>
          <w:ilvl w:val="2"/>
          <w:numId w:val="18"/>
        </w:numPr>
        <w:spacing w:line="276" w:lineRule="auto"/>
        <w:jc w:val="both"/>
        <w:rPr>
          <w:rStyle w:val="apple-converted-space"/>
          <w:rFonts w:eastAsiaTheme="majorEastAsia"/>
          <w:color w:val="000000"/>
        </w:rPr>
      </w:pPr>
      <w:r w:rsidRPr="00B654D9">
        <w:rPr>
          <w:rStyle w:val="apple-converted-space"/>
          <w:rFonts w:eastAsiaTheme="majorEastAsia"/>
          <w:b/>
          <w:bCs/>
          <w:color w:val="000000"/>
        </w:rPr>
        <w:t xml:space="preserve">M. </w:t>
      </w:r>
      <w:proofErr w:type="spellStart"/>
      <w:r w:rsidRPr="00B654D9">
        <w:rPr>
          <w:rStyle w:val="apple-converted-space"/>
          <w:rFonts w:eastAsiaTheme="majorEastAsia"/>
          <w:b/>
          <w:bCs/>
          <w:color w:val="000000"/>
        </w:rPr>
        <w:t>Noubadignim</w:t>
      </w:r>
      <w:proofErr w:type="spellEnd"/>
      <w:r w:rsidRPr="00B654D9">
        <w:rPr>
          <w:rStyle w:val="apple-converted-space"/>
          <w:rFonts w:eastAsiaTheme="majorEastAsia"/>
          <w:b/>
          <w:bCs/>
          <w:color w:val="000000"/>
        </w:rPr>
        <w:t xml:space="preserve"> </w:t>
      </w:r>
      <w:proofErr w:type="spellStart"/>
      <w:r w:rsidRPr="00B654D9">
        <w:rPr>
          <w:rStyle w:val="apple-converted-space"/>
          <w:rFonts w:eastAsiaTheme="majorEastAsia"/>
          <w:b/>
          <w:bCs/>
          <w:color w:val="000000"/>
        </w:rPr>
        <w:t>Ronelyambaye</w:t>
      </w:r>
      <w:proofErr w:type="spellEnd"/>
      <w:r w:rsidRPr="0003607D">
        <w:rPr>
          <w:rStyle w:val="apple-converted-space"/>
          <w:rFonts w:eastAsiaTheme="majorEastAsia"/>
          <w:color w:val="000000"/>
        </w:rPr>
        <w:t>, Chef de division démographie et Cartographie à l’INSEED enlevé le 07 mai 2025 à la sortie du CEFOD par des individus à bord de 05 véhicules à vitre teintées</w:t>
      </w:r>
      <w:r>
        <w:rPr>
          <w:rStyle w:val="apple-converted-space"/>
          <w:rFonts w:eastAsiaTheme="majorEastAsia"/>
          <w:color w:val="000000"/>
        </w:rPr>
        <w:t xml:space="preserve"> et emmené vers une destination qui reste inconnue.</w:t>
      </w:r>
    </w:p>
    <w:p w14:paraId="12EB04C9" w14:textId="2F7BBEAD" w:rsidR="00442528" w:rsidRDefault="00442528" w:rsidP="00442528">
      <w:pPr>
        <w:pStyle w:val="NormalWeb"/>
        <w:numPr>
          <w:ilvl w:val="2"/>
          <w:numId w:val="18"/>
        </w:numPr>
        <w:spacing w:line="276" w:lineRule="auto"/>
        <w:jc w:val="both"/>
        <w:rPr>
          <w:rStyle w:val="apple-converted-space"/>
          <w:rFonts w:eastAsiaTheme="majorEastAsia"/>
          <w:color w:val="000000"/>
        </w:rPr>
      </w:pPr>
      <w:r w:rsidRPr="00B654D9">
        <w:rPr>
          <w:rStyle w:val="apple-converted-space"/>
          <w:rFonts w:eastAsiaTheme="majorEastAsia"/>
          <w:b/>
          <w:bCs/>
          <w:color w:val="000000"/>
        </w:rPr>
        <w:t xml:space="preserve">Dr </w:t>
      </w:r>
      <w:proofErr w:type="spellStart"/>
      <w:r w:rsidRPr="00B654D9">
        <w:rPr>
          <w:rStyle w:val="apple-converted-space"/>
          <w:rFonts w:eastAsiaTheme="majorEastAsia"/>
          <w:b/>
          <w:bCs/>
          <w:color w:val="000000"/>
        </w:rPr>
        <w:t>Masra</w:t>
      </w:r>
      <w:proofErr w:type="spellEnd"/>
      <w:r w:rsidRPr="00B654D9">
        <w:rPr>
          <w:rStyle w:val="apple-converted-space"/>
          <w:rFonts w:eastAsiaTheme="majorEastAsia"/>
          <w:b/>
          <w:bCs/>
          <w:color w:val="000000"/>
        </w:rPr>
        <w:t xml:space="preserve"> </w:t>
      </w:r>
      <w:proofErr w:type="spellStart"/>
      <w:r w:rsidRPr="00B654D9">
        <w:rPr>
          <w:rStyle w:val="apple-converted-space"/>
          <w:rFonts w:eastAsiaTheme="majorEastAsia"/>
          <w:b/>
          <w:bCs/>
          <w:color w:val="000000"/>
        </w:rPr>
        <w:t>Succes</w:t>
      </w:r>
      <w:proofErr w:type="spellEnd"/>
      <w:r w:rsidRPr="0003607D">
        <w:rPr>
          <w:rStyle w:val="apple-converted-space"/>
          <w:rFonts w:eastAsiaTheme="majorEastAsia"/>
          <w:color w:val="000000"/>
        </w:rPr>
        <w:t xml:space="preserve">, Président du parti « les transformateurs » </w:t>
      </w:r>
      <w:r>
        <w:rPr>
          <w:rStyle w:val="apple-converted-space"/>
          <w:rFonts w:eastAsiaTheme="majorEastAsia"/>
          <w:color w:val="000000"/>
        </w:rPr>
        <w:t xml:space="preserve">et opposant a été </w:t>
      </w:r>
      <w:r w:rsidRPr="0003607D">
        <w:rPr>
          <w:rStyle w:val="apple-converted-space"/>
          <w:rFonts w:eastAsiaTheme="majorEastAsia"/>
          <w:color w:val="000000"/>
        </w:rPr>
        <w:t xml:space="preserve">enlevé </w:t>
      </w:r>
      <w:r>
        <w:rPr>
          <w:rStyle w:val="apple-converted-space"/>
          <w:rFonts w:eastAsiaTheme="majorEastAsia"/>
          <w:color w:val="000000"/>
        </w:rPr>
        <w:t>à son domicile</w:t>
      </w:r>
      <w:r w:rsidRPr="0003607D">
        <w:rPr>
          <w:rStyle w:val="apple-converted-space"/>
          <w:rFonts w:eastAsiaTheme="majorEastAsia"/>
          <w:color w:val="000000"/>
        </w:rPr>
        <w:t xml:space="preserve"> le</w:t>
      </w:r>
      <w:r>
        <w:rPr>
          <w:rStyle w:val="apple-converted-space"/>
          <w:rFonts w:eastAsiaTheme="majorEastAsia"/>
          <w:color w:val="000000"/>
        </w:rPr>
        <w:t xml:space="preserve"> 16</w:t>
      </w:r>
      <w:r w:rsidRPr="0003607D">
        <w:rPr>
          <w:rStyle w:val="apple-converted-space"/>
          <w:rFonts w:eastAsiaTheme="majorEastAsia"/>
          <w:color w:val="000000"/>
        </w:rPr>
        <w:t xml:space="preserve"> mai 2025. </w:t>
      </w:r>
      <w:r>
        <w:rPr>
          <w:rStyle w:val="apple-converted-space"/>
          <w:rFonts w:eastAsiaTheme="majorEastAsia"/>
          <w:color w:val="000000"/>
        </w:rPr>
        <w:t>Il a été placé en</w:t>
      </w:r>
      <w:r w:rsidRPr="003B1DE4">
        <w:rPr>
          <w:rStyle w:val="apple-converted-space"/>
          <w:rFonts w:eastAsiaTheme="majorEastAsia"/>
          <w:color w:val="000000"/>
        </w:rPr>
        <w:t xml:space="preserve"> détention </w:t>
      </w:r>
      <w:r>
        <w:rPr>
          <w:rStyle w:val="apple-converted-space"/>
          <w:rFonts w:eastAsiaTheme="majorEastAsia"/>
          <w:color w:val="000000"/>
        </w:rPr>
        <w:t>provisoire</w:t>
      </w:r>
      <w:r w:rsidRPr="003B1DE4">
        <w:rPr>
          <w:rStyle w:val="apple-converted-space"/>
          <w:rFonts w:eastAsiaTheme="majorEastAsia"/>
          <w:color w:val="000000"/>
        </w:rPr>
        <w:t xml:space="preserve"> le 21 mai 2025 </w:t>
      </w:r>
      <w:r>
        <w:rPr>
          <w:rStyle w:val="apple-converted-space"/>
          <w:rFonts w:eastAsiaTheme="majorEastAsia"/>
          <w:color w:val="000000"/>
        </w:rPr>
        <w:t xml:space="preserve">et </w:t>
      </w:r>
      <w:r w:rsidR="00E23CB2">
        <w:rPr>
          <w:rStyle w:val="apple-converted-space"/>
          <w:rFonts w:eastAsiaTheme="majorEastAsia"/>
          <w:color w:val="000000"/>
        </w:rPr>
        <w:t xml:space="preserve">condamné </w:t>
      </w:r>
      <w:r w:rsidR="00E23CB2" w:rsidRPr="00E23CB2">
        <w:rPr>
          <w:rStyle w:val="apple-converted-space"/>
          <w:rFonts w:eastAsiaTheme="majorEastAsia"/>
          <w:color w:val="000000"/>
        </w:rPr>
        <w:t>le 9 août 2025 à 20 ans d’emprisonnement à la suite d’un procès non conforme aux standards d’un procès équitable</w:t>
      </w:r>
      <w:r w:rsidR="00E23CB2">
        <w:rPr>
          <w:rStyle w:val="apple-converted-space"/>
          <w:rFonts w:eastAsiaTheme="majorEastAsia"/>
          <w:color w:val="000000"/>
        </w:rPr>
        <w:t xml:space="preserve"> </w:t>
      </w:r>
      <w:r>
        <w:rPr>
          <w:rStyle w:val="apple-converted-space"/>
          <w:rFonts w:eastAsiaTheme="majorEastAsia"/>
          <w:color w:val="000000"/>
        </w:rPr>
        <w:t xml:space="preserve">poursuivi pour « incitation à la haine » </w:t>
      </w:r>
      <w:r w:rsidR="00E23CB2">
        <w:rPr>
          <w:rStyle w:val="apple-converted-space"/>
          <w:rFonts w:eastAsiaTheme="majorEastAsia"/>
          <w:color w:val="000000"/>
        </w:rPr>
        <w:t xml:space="preserve">et « complicité de meurtre » </w:t>
      </w:r>
      <w:r>
        <w:rPr>
          <w:rStyle w:val="apple-converted-space"/>
          <w:rFonts w:eastAsiaTheme="majorEastAsia"/>
          <w:color w:val="000000"/>
        </w:rPr>
        <w:t xml:space="preserve">pour des propos qu’il aurait prononcé lors </w:t>
      </w:r>
      <w:proofErr w:type="gramStart"/>
      <w:r>
        <w:rPr>
          <w:rStyle w:val="apple-converted-space"/>
          <w:rFonts w:eastAsiaTheme="majorEastAsia"/>
          <w:color w:val="000000"/>
        </w:rPr>
        <w:t>d’un meeting</w:t>
      </w:r>
      <w:proofErr w:type="gramEnd"/>
      <w:r>
        <w:rPr>
          <w:rStyle w:val="apple-converted-space"/>
          <w:rFonts w:eastAsiaTheme="majorEastAsia"/>
          <w:color w:val="000000"/>
        </w:rPr>
        <w:t xml:space="preserve"> en 2023</w:t>
      </w:r>
      <w:r w:rsidRPr="003B1DE4">
        <w:rPr>
          <w:rStyle w:val="apple-converted-space"/>
          <w:rFonts w:eastAsiaTheme="majorEastAsia"/>
          <w:color w:val="000000"/>
        </w:rPr>
        <w:t>.</w:t>
      </w:r>
      <w:r>
        <w:rPr>
          <w:rStyle w:val="FootnoteReference"/>
          <w:rFonts w:eastAsiaTheme="majorEastAsia"/>
          <w:color w:val="000000"/>
        </w:rPr>
        <w:footnoteReference w:id="18"/>
      </w:r>
      <w:r w:rsidRPr="003B1DE4">
        <w:rPr>
          <w:rStyle w:val="apple-converted-space"/>
          <w:rFonts w:eastAsiaTheme="majorEastAsia"/>
          <w:color w:val="000000"/>
        </w:rPr>
        <w:t xml:space="preserve"> </w:t>
      </w:r>
      <w:r>
        <w:rPr>
          <w:rStyle w:val="apple-converted-space"/>
          <w:rFonts w:eastAsiaTheme="majorEastAsia"/>
          <w:color w:val="000000"/>
        </w:rPr>
        <w:t>Il est toujours en détention.</w:t>
      </w:r>
    </w:p>
    <w:p w14:paraId="61761BD5" w14:textId="6EB68D5E" w:rsidR="005967A2" w:rsidRPr="003B1DE4" w:rsidRDefault="00E23CB2" w:rsidP="00442528">
      <w:pPr>
        <w:pStyle w:val="NormalWeb"/>
        <w:numPr>
          <w:ilvl w:val="2"/>
          <w:numId w:val="18"/>
        </w:numPr>
        <w:spacing w:line="276" w:lineRule="auto"/>
        <w:jc w:val="both"/>
        <w:rPr>
          <w:rStyle w:val="apple-converted-space"/>
          <w:rFonts w:eastAsiaTheme="majorEastAsia"/>
          <w:color w:val="000000"/>
        </w:rPr>
      </w:pPr>
      <w:r>
        <w:t xml:space="preserve">Le 27 août 2025, </w:t>
      </w:r>
      <w:r w:rsidRPr="00B654D9">
        <w:rPr>
          <w:b/>
          <w:bCs/>
        </w:rPr>
        <w:t xml:space="preserve">Mahamat Souleymane </w:t>
      </w:r>
      <w:proofErr w:type="spellStart"/>
      <w:r w:rsidRPr="00B654D9">
        <w:rPr>
          <w:b/>
          <w:bCs/>
        </w:rPr>
        <w:t>Irégué</w:t>
      </w:r>
      <w:proofErr w:type="spellEnd"/>
      <w:r>
        <w:t xml:space="preserve">, </w:t>
      </w:r>
      <w:r w:rsidR="00B654D9" w:rsidRPr="00B654D9">
        <w:rPr>
          <w:rStyle w:val="apple-converted-space"/>
          <w:rFonts w:eastAsiaTheme="majorEastAsia"/>
          <w:color w:val="000000"/>
        </w:rPr>
        <w:t xml:space="preserve">un jeune activiste membre du mouvement citoyen « </w:t>
      </w:r>
      <w:proofErr w:type="spellStart"/>
      <w:r w:rsidR="00B654D9" w:rsidRPr="00B654D9">
        <w:rPr>
          <w:rStyle w:val="apple-converted-space"/>
          <w:rFonts w:eastAsiaTheme="majorEastAsia"/>
          <w:color w:val="000000"/>
        </w:rPr>
        <w:t>Wakit</w:t>
      </w:r>
      <w:proofErr w:type="spellEnd"/>
      <w:r w:rsidR="00B654D9" w:rsidRPr="00B654D9">
        <w:rPr>
          <w:rStyle w:val="apple-converted-space"/>
          <w:rFonts w:eastAsiaTheme="majorEastAsia"/>
          <w:color w:val="000000"/>
        </w:rPr>
        <w:t xml:space="preserve"> </w:t>
      </w:r>
      <w:proofErr w:type="spellStart"/>
      <w:r w:rsidR="00B654D9" w:rsidRPr="00B654D9">
        <w:rPr>
          <w:rStyle w:val="apple-converted-space"/>
          <w:rFonts w:eastAsiaTheme="majorEastAsia"/>
          <w:color w:val="000000"/>
        </w:rPr>
        <w:t>Tamma</w:t>
      </w:r>
      <w:proofErr w:type="spellEnd"/>
      <w:r w:rsidR="00B654D9" w:rsidRPr="00B654D9">
        <w:rPr>
          <w:rStyle w:val="apple-converted-space"/>
          <w:rFonts w:eastAsiaTheme="majorEastAsia"/>
          <w:color w:val="000000"/>
        </w:rPr>
        <w:t xml:space="preserve"> »</w:t>
      </w:r>
      <w:r w:rsidR="00B654D9">
        <w:rPr>
          <w:rStyle w:val="apple-converted-space"/>
          <w:rFonts w:eastAsiaTheme="majorEastAsia"/>
          <w:color w:val="000000"/>
        </w:rPr>
        <w:t>,</w:t>
      </w:r>
      <w:r w:rsidR="00B654D9" w:rsidRPr="00B654D9">
        <w:rPr>
          <w:rStyle w:val="apple-converted-space"/>
          <w:rFonts w:eastAsiaTheme="majorEastAsia"/>
          <w:color w:val="000000"/>
        </w:rPr>
        <w:t xml:space="preserve"> a été</w:t>
      </w:r>
      <w:r w:rsidRPr="00B654D9">
        <w:rPr>
          <w:rStyle w:val="apple-converted-space"/>
          <w:rFonts w:eastAsiaTheme="majorEastAsia"/>
          <w:color w:val="000000"/>
        </w:rPr>
        <w:t xml:space="preserve"> arrêté p</w:t>
      </w:r>
      <w:r>
        <w:t xml:space="preserve">ar l’ANSE près de l’aéroport de Ndjaména et détenu au secret, l’agence niant sa détention malgré les démarches de ses proches. Dans les locaux de l’ANSE, il subit de graves actes de torture : ligoté et cagoulé, soumis à des décharges électriques, noyades simulées dans de l’eau chaude et insalubre, versements d’eau brûlante et irritante, tentatives d’asphyxie avec un sac plastique au piment, coups et menaces de mort. Les sévices sont filmés. Il est ensuite détenu dans une cellule exiguë, mal nourri, avant sa </w:t>
      </w:r>
      <w:r>
        <w:lastRenderedPageBreak/>
        <w:t>libération le 28 août au soir.</w:t>
      </w:r>
      <w:r w:rsidR="005967A2">
        <w:rPr>
          <w:rStyle w:val="FootnoteReference"/>
          <w:rFonts w:eastAsiaTheme="majorEastAsia"/>
          <w:color w:val="000000"/>
        </w:rPr>
        <w:footnoteReference w:id="19"/>
      </w:r>
      <w:r w:rsidR="00C86FA2">
        <w:t xml:space="preserve"> Malgré des demandes de la société civile en ce sens, aucune enquête n’a été ouverte concernant ces faits.</w:t>
      </w:r>
    </w:p>
    <w:tbl>
      <w:tblPr>
        <w:tblStyle w:val="TableGrid"/>
        <w:tblW w:w="0" w:type="auto"/>
        <w:tblLook w:val="04A0" w:firstRow="1" w:lastRow="0" w:firstColumn="1" w:lastColumn="0" w:noHBand="0" w:noVBand="1"/>
      </w:tblPr>
      <w:tblGrid>
        <w:gridCol w:w="9062"/>
      </w:tblGrid>
      <w:tr w:rsidR="0060660D" w14:paraId="33EA67AD" w14:textId="77777777" w:rsidTr="0060660D">
        <w:tc>
          <w:tcPr>
            <w:tcW w:w="9062" w:type="dxa"/>
          </w:tcPr>
          <w:p w14:paraId="48D53AA8" w14:textId="3BADF900" w:rsidR="0060660D" w:rsidRPr="00A013EE" w:rsidRDefault="0060660D" w:rsidP="0060660D">
            <w:pPr>
              <w:pStyle w:val="NormalWeb"/>
              <w:spacing w:before="0" w:beforeAutospacing="0" w:after="0" w:afterAutospacing="0" w:line="276" w:lineRule="auto"/>
              <w:rPr>
                <w:rStyle w:val="Strong"/>
                <w:rFonts w:eastAsiaTheme="majorEastAsia"/>
                <w:b w:val="0"/>
                <w:bCs w:val="0"/>
                <w:color w:val="000000"/>
                <w:u w:val="single"/>
              </w:rPr>
            </w:pPr>
            <w:r w:rsidRPr="00BE7B63">
              <w:rPr>
                <w:rStyle w:val="Strong"/>
                <w:rFonts w:eastAsiaTheme="majorEastAsia"/>
                <w:b w:val="0"/>
                <w:bCs w:val="0"/>
                <w:color w:val="000000"/>
                <w:u w:val="single"/>
              </w:rPr>
              <w:t>R</w:t>
            </w:r>
            <w:r w:rsidRPr="00A013EE">
              <w:rPr>
                <w:rStyle w:val="Strong"/>
                <w:rFonts w:eastAsiaTheme="majorEastAsia"/>
                <w:b w:val="0"/>
                <w:bCs w:val="0"/>
                <w:color w:val="000000"/>
                <w:u w:val="single"/>
              </w:rPr>
              <w:t>ecommandations :</w:t>
            </w:r>
          </w:p>
          <w:p w14:paraId="3586FB12" w14:textId="382EBF86" w:rsidR="0060660D" w:rsidRDefault="0060660D" w:rsidP="00A013EE">
            <w:pPr>
              <w:pStyle w:val="NormalWeb"/>
              <w:numPr>
                <w:ilvl w:val="0"/>
                <w:numId w:val="38"/>
              </w:numPr>
              <w:jc w:val="both"/>
            </w:pPr>
            <w:r w:rsidRPr="00A013EE">
              <w:rPr>
                <w:rStyle w:val="Strong"/>
                <w:rFonts w:eastAsiaTheme="majorEastAsia"/>
                <w:b w:val="0"/>
                <w:bCs w:val="0"/>
              </w:rPr>
              <w:t xml:space="preserve">Mettre fin à la torture et </w:t>
            </w:r>
            <w:r w:rsidR="00752549" w:rsidRPr="00A013EE">
              <w:rPr>
                <w:rStyle w:val="Strong"/>
                <w:rFonts w:eastAsiaTheme="majorEastAsia"/>
                <w:b w:val="0"/>
                <w:bCs w:val="0"/>
              </w:rPr>
              <w:t>mener</w:t>
            </w:r>
            <w:r w:rsidRPr="00A013EE">
              <w:rPr>
                <w:rStyle w:val="Strong"/>
                <w:rFonts w:eastAsiaTheme="majorEastAsia"/>
                <w:b w:val="0"/>
                <w:bCs w:val="0"/>
              </w:rPr>
              <w:t xml:space="preserve"> des enquêtes indépendantes et effectives</w:t>
            </w:r>
            <w:r>
              <w:br/>
              <w:t>sur tous les cas de torture et de mauvais traitements, notamment dans le contexte des événements du 20 octobre 2022 et des détentions récentes, en ouvrant sans délai des enquêtes judiciaires indépendantes, impartiales et transparentes sur toutes les allégations, y compris celles impliquant des agents de l’Agence Nationale de Sécurité de l’État (ANSE), et en poursuivant les responsables</w:t>
            </w:r>
            <w:r w:rsidR="00C477ED">
              <w:t xml:space="preserve"> </w:t>
            </w:r>
            <w:r>
              <w:t>;</w:t>
            </w:r>
          </w:p>
          <w:p w14:paraId="52B0BADF" w14:textId="4E8744B9" w:rsidR="00C477ED" w:rsidRDefault="00C477ED" w:rsidP="00C477ED">
            <w:pPr>
              <w:pStyle w:val="NormalWeb"/>
              <w:numPr>
                <w:ilvl w:val="0"/>
                <w:numId w:val="38"/>
              </w:numPr>
              <w:jc w:val="both"/>
            </w:pPr>
            <w:r>
              <w:t xml:space="preserve">Ratifier le Protocole additionnel à la Convention contre la torture et autres peines et traitements cruels, inhumains et dégradants </w:t>
            </w:r>
            <w:r w:rsidR="00310CDC">
              <w:t>et mettre en place un mécanisme national de prévention de la torture ;</w:t>
            </w:r>
          </w:p>
          <w:p w14:paraId="50A1DECE" w14:textId="77777777" w:rsidR="00C477ED" w:rsidRDefault="0060660D" w:rsidP="0060660D">
            <w:pPr>
              <w:pStyle w:val="NormalWeb"/>
              <w:numPr>
                <w:ilvl w:val="0"/>
                <w:numId w:val="38"/>
              </w:numPr>
              <w:jc w:val="both"/>
            </w:pPr>
            <w:r>
              <w:t>Mettre fin aux enlèvements, arrestations et détentions arbitraires, en particulier aux détentions au secret, garantir que toute privation de liberté se fasse conformément à la loi, avec accès immédiat à un avocat, à la famille et à un contrôle judiciaire effectif</w:t>
            </w:r>
            <w:r w:rsidR="00BE7B63">
              <w:t xml:space="preserve"> </w:t>
            </w:r>
            <w:r>
              <w:t>;</w:t>
            </w:r>
          </w:p>
          <w:p w14:paraId="1917C1F2" w14:textId="77777777" w:rsidR="00C477ED" w:rsidRDefault="0060660D" w:rsidP="0060660D">
            <w:pPr>
              <w:pStyle w:val="NormalWeb"/>
              <w:numPr>
                <w:ilvl w:val="0"/>
                <w:numId w:val="38"/>
              </w:numPr>
              <w:jc w:val="both"/>
            </w:pPr>
            <w:r>
              <w:t>Réviser le cadre juridique régissant l’ANSE afin de prévenir les abus liés à des notions vagues telles que la « subversion », soumettre ses activités à un contrôle judiciaire effectif, et garantir que ses agents soient tenus responsables de toute violation des droits humains ;</w:t>
            </w:r>
          </w:p>
          <w:p w14:paraId="4794D634" w14:textId="05368EFA" w:rsidR="0060660D" w:rsidRPr="00A013EE" w:rsidRDefault="0060660D" w:rsidP="00A013EE">
            <w:pPr>
              <w:pStyle w:val="NormalWeb"/>
              <w:numPr>
                <w:ilvl w:val="0"/>
                <w:numId w:val="38"/>
              </w:numPr>
              <w:jc w:val="both"/>
              <w:rPr>
                <w:rStyle w:val="Strong"/>
                <w:b w:val="0"/>
                <w:bCs w:val="0"/>
              </w:rPr>
            </w:pPr>
            <w:r w:rsidRPr="00A013EE">
              <w:rPr>
                <w:rStyle w:val="Strong"/>
                <w:rFonts w:eastAsiaTheme="majorEastAsia"/>
                <w:b w:val="0"/>
                <w:bCs w:val="0"/>
              </w:rPr>
              <w:t>Garantir aux victimes</w:t>
            </w:r>
            <w:r w:rsidRPr="00C477ED">
              <w:rPr>
                <w:rStyle w:val="Strong"/>
                <w:rFonts w:eastAsiaTheme="majorEastAsia"/>
              </w:rPr>
              <w:t xml:space="preserve"> </w:t>
            </w:r>
            <w:r>
              <w:t>de torture, de détention arbitraire et aux familles des personnes décédées ou disparues en détention le droit à la vérité, à une information complète, à la restitution des corps le cas échéant, ainsi qu’à une réparation adéquate, incluant indemnisation, réhabilitation et garanties de non-répétition.</w:t>
            </w:r>
          </w:p>
        </w:tc>
      </w:tr>
    </w:tbl>
    <w:p w14:paraId="42B3307E" w14:textId="67F55AAA" w:rsidR="004A0067" w:rsidRPr="00D23F71" w:rsidRDefault="004A0067" w:rsidP="00A013EE">
      <w:pPr>
        <w:pStyle w:val="NormalWeb"/>
        <w:spacing w:before="0" w:beforeAutospacing="0" w:after="0" w:afterAutospacing="0" w:line="276" w:lineRule="auto"/>
        <w:rPr>
          <w:rStyle w:val="Strong"/>
          <w:rFonts w:eastAsiaTheme="majorEastAsia"/>
          <w:b w:val="0"/>
          <w:bCs w:val="0"/>
          <w:color w:val="000000"/>
          <w:u w:val="single"/>
        </w:rPr>
      </w:pPr>
    </w:p>
    <w:p w14:paraId="125E9431" w14:textId="77777777" w:rsidR="00D23F71" w:rsidRPr="004A0067" w:rsidRDefault="00D23F71" w:rsidP="00A013EE">
      <w:pPr>
        <w:pStyle w:val="NormalWeb"/>
        <w:numPr>
          <w:ilvl w:val="0"/>
          <w:numId w:val="15"/>
        </w:numPr>
        <w:spacing w:before="0" w:beforeAutospacing="0" w:after="0" w:afterAutospacing="0" w:line="276" w:lineRule="auto"/>
        <w:rPr>
          <w:rStyle w:val="Strong"/>
          <w:rFonts w:eastAsiaTheme="majorEastAsia"/>
          <w:b w:val="0"/>
          <w:bCs w:val="0"/>
          <w:color w:val="000000"/>
          <w:u w:val="single"/>
        </w:rPr>
      </w:pPr>
      <w:r>
        <w:rPr>
          <w:rStyle w:val="Strong"/>
          <w:rFonts w:eastAsiaTheme="majorEastAsia"/>
          <w:color w:val="000000"/>
          <w:u w:val="single"/>
        </w:rPr>
        <w:t>Traitement des personnes privées de liberté (article 10)</w:t>
      </w:r>
    </w:p>
    <w:p w14:paraId="3AEBEAAF" w14:textId="77777777" w:rsidR="00B0451F" w:rsidRDefault="00B0451F" w:rsidP="00B0451F">
      <w:pPr>
        <w:pStyle w:val="NormalWeb"/>
        <w:spacing w:before="0" w:beforeAutospacing="0" w:after="0" w:afterAutospacing="0" w:line="276" w:lineRule="auto"/>
        <w:jc w:val="both"/>
        <w:rPr>
          <w:color w:val="000000"/>
        </w:rPr>
      </w:pPr>
    </w:p>
    <w:p w14:paraId="5266C38F" w14:textId="029F78DA" w:rsidR="00484D0D" w:rsidRPr="0003607D" w:rsidRDefault="00484D0D" w:rsidP="00B0451F">
      <w:pPr>
        <w:pStyle w:val="NormalWeb"/>
        <w:spacing w:before="0" w:beforeAutospacing="0" w:after="0" w:afterAutospacing="0" w:line="276" w:lineRule="auto"/>
        <w:jc w:val="both"/>
        <w:rPr>
          <w:color w:val="000000"/>
        </w:rPr>
      </w:pPr>
      <w:r w:rsidRPr="0003607D">
        <w:rPr>
          <w:color w:val="000000"/>
        </w:rPr>
        <w:t xml:space="preserve">Les conditions de détention au Tchad </w:t>
      </w:r>
      <w:r w:rsidR="003E4EB2">
        <w:rPr>
          <w:color w:val="000000"/>
        </w:rPr>
        <w:t>sont</w:t>
      </w:r>
      <w:r w:rsidRPr="0003607D">
        <w:rPr>
          <w:color w:val="000000"/>
        </w:rPr>
        <w:t xml:space="preserve"> marquées par des défis significatifs, notamment la surpopulation carcérale, </w:t>
      </w:r>
      <w:r w:rsidR="00B0451F">
        <w:rPr>
          <w:color w:val="000000"/>
        </w:rPr>
        <w:t xml:space="preserve">un accès </w:t>
      </w:r>
      <w:r w:rsidR="00B0451F" w:rsidRPr="0003607D">
        <w:rPr>
          <w:color w:val="000000"/>
        </w:rPr>
        <w:t>insuffisant aux soins médicaux, à une alimentation correcte et à des conditions sanitaires de base</w:t>
      </w:r>
      <w:r w:rsidR="00B0451F">
        <w:rPr>
          <w:color w:val="000000"/>
        </w:rPr>
        <w:t xml:space="preserve">, </w:t>
      </w:r>
      <w:r w:rsidRPr="0003607D">
        <w:rPr>
          <w:color w:val="000000"/>
        </w:rPr>
        <w:t xml:space="preserve">des décès en détention </w:t>
      </w:r>
      <w:r>
        <w:rPr>
          <w:color w:val="000000"/>
        </w:rPr>
        <w:t>mais aussi</w:t>
      </w:r>
      <w:r w:rsidRPr="0003607D">
        <w:rPr>
          <w:color w:val="000000"/>
        </w:rPr>
        <w:t xml:space="preserve"> des efforts pour améliorer la situation.</w:t>
      </w:r>
      <w:r w:rsidR="00B0451F">
        <w:rPr>
          <w:color w:val="000000"/>
        </w:rPr>
        <w:t xml:space="preserve"> </w:t>
      </w:r>
    </w:p>
    <w:p w14:paraId="4B692921" w14:textId="77777777" w:rsidR="00484D0D" w:rsidRPr="0003607D" w:rsidRDefault="00484D0D" w:rsidP="00484D0D">
      <w:pPr>
        <w:spacing w:before="100" w:beforeAutospacing="1" w:after="100" w:afterAutospacing="1" w:line="276" w:lineRule="auto"/>
        <w:jc w:val="both"/>
        <w:rPr>
          <w:color w:val="000000"/>
        </w:rPr>
      </w:pPr>
      <w:r w:rsidRPr="0003607D">
        <w:rPr>
          <w:color w:val="000000"/>
        </w:rPr>
        <w:t xml:space="preserve">Des rapports font état de conditions de détention préoccupantes, notamment </w:t>
      </w:r>
      <w:r>
        <w:rPr>
          <w:color w:val="000000"/>
        </w:rPr>
        <w:t>dans les</w:t>
      </w:r>
      <w:r w:rsidRPr="0003607D">
        <w:rPr>
          <w:color w:val="000000"/>
        </w:rPr>
        <w:t xml:space="preserve"> prison</w:t>
      </w:r>
      <w:r>
        <w:rPr>
          <w:color w:val="000000"/>
        </w:rPr>
        <w:t>s</w:t>
      </w:r>
      <w:r w:rsidRPr="0003607D">
        <w:rPr>
          <w:color w:val="000000"/>
        </w:rPr>
        <w:t xml:space="preserve"> de Koro Toro, </w:t>
      </w:r>
      <w:proofErr w:type="spellStart"/>
      <w:r w:rsidRPr="0003607D">
        <w:rPr>
          <w:color w:val="000000"/>
        </w:rPr>
        <w:t>Mandelia</w:t>
      </w:r>
      <w:proofErr w:type="spellEnd"/>
      <w:r w:rsidRPr="0003607D">
        <w:rPr>
          <w:color w:val="000000"/>
        </w:rPr>
        <w:t>, où des abus graves, y compris des actes de torture et des décès, ont été documentés. Les détenus y subissent des traitements inhumains, et les procédures judiciaires menées sur place manquent de garanties d'un procès équitable</w:t>
      </w:r>
      <w:r w:rsidRPr="0003607D">
        <w:rPr>
          <w:rStyle w:val="FootnoteReference"/>
          <w:color w:val="000000"/>
        </w:rPr>
        <w:footnoteReference w:id="20"/>
      </w:r>
      <w:r w:rsidRPr="0003607D">
        <w:rPr>
          <w:color w:val="000000"/>
        </w:rPr>
        <w:t>. </w:t>
      </w:r>
    </w:p>
    <w:p w14:paraId="1C5BAB36" w14:textId="0BFA6C1D" w:rsidR="00484D0D" w:rsidRDefault="00484D0D" w:rsidP="00484D0D">
      <w:pPr>
        <w:spacing w:before="100" w:beforeAutospacing="1" w:after="100" w:afterAutospacing="1" w:line="276" w:lineRule="auto"/>
        <w:jc w:val="both"/>
        <w:rPr>
          <w:color w:val="000000"/>
        </w:rPr>
      </w:pPr>
      <w:r w:rsidRPr="0003607D">
        <w:rPr>
          <w:color w:val="000000"/>
        </w:rPr>
        <w:t xml:space="preserve">De plus, les prisons de </w:t>
      </w:r>
      <w:proofErr w:type="spellStart"/>
      <w:r w:rsidRPr="0003607D">
        <w:rPr>
          <w:color w:val="000000"/>
        </w:rPr>
        <w:t>Klessoum</w:t>
      </w:r>
      <w:proofErr w:type="spellEnd"/>
      <w:r w:rsidRPr="0003607D">
        <w:rPr>
          <w:color w:val="000000"/>
        </w:rPr>
        <w:t xml:space="preserve">, de </w:t>
      </w:r>
      <w:proofErr w:type="spellStart"/>
      <w:r w:rsidRPr="0003607D">
        <w:rPr>
          <w:color w:val="000000"/>
        </w:rPr>
        <w:t>Moussoro</w:t>
      </w:r>
      <w:proofErr w:type="spellEnd"/>
      <w:r w:rsidRPr="0003607D">
        <w:rPr>
          <w:color w:val="000000"/>
        </w:rPr>
        <w:t xml:space="preserve">, de </w:t>
      </w:r>
      <w:proofErr w:type="spellStart"/>
      <w:r w:rsidRPr="0003607D">
        <w:rPr>
          <w:color w:val="000000"/>
        </w:rPr>
        <w:t>Kelo</w:t>
      </w:r>
      <w:proofErr w:type="spellEnd"/>
      <w:r w:rsidRPr="0003607D">
        <w:rPr>
          <w:color w:val="000000"/>
        </w:rPr>
        <w:t xml:space="preserve"> et de Mongo font face à une surpopulation carcérale, avec un nombre de détenus atteignant trois fois leur capacité d'accueil. Les conditions de vie y sont précaires, notamment en ce qui concerne l'alimentation, l'accès à </w:t>
      </w:r>
      <w:r w:rsidRPr="0003607D">
        <w:rPr>
          <w:color w:val="000000"/>
        </w:rPr>
        <w:lastRenderedPageBreak/>
        <w:t>l'eau potable, la ventilation et les soins de santé. La situation des mineurs détenus est particulièrement alarmante, certains ayant moins de 13 ans</w:t>
      </w:r>
      <w:r w:rsidRPr="0003607D">
        <w:rPr>
          <w:rStyle w:val="FootnoteReference"/>
          <w:color w:val="000000"/>
        </w:rPr>
        <w:footnoteReference w:id="21"/>
      </w:r>
      <w:r w:rsidRPr="0003607D">
        <w:rPr>
          <w:color w:val="000000"/>
        </w:rPr>
        <w:t>. </w:t>
      </w:r>
    </w:p>
    <w:p w14:paraId="03C3F064" w14:textId="3C540B46" w:rsidR="00484D0D" w:rsidRPr="00264799" w:rsidRDefault="00484D0D" w:rsidP="009D30FC">
      <w:pPr>
        <w:pStyle w:val="NormalWeb"/>
        <w:numPr>
          <w:ilvl w:val="0"/>
          <w:numId w:val="24"/>
        </w:numPr>
        <w:spacing w:line="276" w:lineRule="auto"/>
      </w:pPr>
      <w:r w:rsidRPr="00264799">
        <w:rPr>
          <w:rStyle w:val="Strong"/>
          <w:rFonts w:eastAsiaTheme="majorEastAsia"/>
        </w:rPr>
        <w:t>Surpopulation carcérale</w:t>
      </w:r>
      <w:r w:rsidRPr="0003607D">
        <w:rPr>
          <w:rStyle w:val="Strong"/>
          <w:rFonts w:eastAsiaTheme="majorEastAsia"/>
        </w:rPr>
        <w:t xml:space="preserve"> et non-respect des standards internationaux</w:t>
      </w:r>
    </w:p>
    <w:p w14:paraId="0EE9E188" w14:textId="77777777" w:rsidR="00484D0D" w:rsidRPr="00264799" w:rsidRDefault="00484D0D" w:rsidP="00484D0D">
      <w:pPr>
        <w:pStyle w:val="NormalWeb"/>
        <w:spacing w:line="276" w:lineRule="auto"/>
        <w:jc w:val="both"/>
        <w:rPr>
          <w:rStyle w:val="apple-converted-space"/>
          <w:rFonts w:eastAsiaTheme="majorEastAsia"/>
        </w:rPr>
      </w:pPr>
      <w:r w:rsidRPr="0003607D">
        <w:rPr>
          <w:color w:val="000000"/>
        </w:rPr>
        <w:t xml:space="preserve">Les établissements pénitentiaires tchadiens souffrent d'une surpopulation chronique, exacerbée par l'absence de mesures alternatives à la détention provisoire. Le troisième rapport périodique soumis par le Tchad au Comité des droits de l'homme des Nations Unies reconnait </w:t>
      </w:r>
      <w:r w:rsidRPr="00264799">
        <w:t>l'absence de telles mesures, indiquant une prise de conscience officielle du problème.</w:t>
      </w:r>
      <w:r>
        <w:rPr>
          <w:rStyle w:val="FootnoteReference"/>
        </w:rPr>
        <w:footnoteReference w:id="22"/>
      </w:r>
      <w:r w:rsidRPr="00264799">
        <w:rPr>
          <w:rStyle w:val="apple-converted-space"/>
          <w:rFonts w:eastAsiaTheme="majorEastAsia"/>
        </w:rPr>
        <w:t> </w:t>
      </w:r>
    </w:p>
    <w:p w14:paraId="3D7DD089" w14:textId="77777777" w:rsidR="00484D0D" w:rsidRPr="0003607D" w:rsidRDefault="00484D0D" w:rsidP="00484D0D">
      <w:pPr>
        <w:spacing w:before="240" w:line="276" w:lineRule="auto"/>
        <w:jc w:val="both"/>
        <w:rPr>
          <w:lang w:val="fr-FR"/>
        </w:rPr>
      </w:pPr>
      <w:r w:rsidRPr="00264799">
        <w:t xml:space="preserve">La LTDH a déployé des missions d’établissements des faits dans les ressorts territoriaux des cinq (5) Cour d’Appel </w:t>
      </w:r>
      <w:r w:rsidRPr="0003607D">
        <w:rPr>
          <w:lang w:val="fr-FR"/>
        </w:rPr>
        <w:t>du 06 au 20 février 2024</w:t>
      </w:r>
      <w:r w:rsidRPr="00264799">
        <w:t xml:space="preserve">. </w:t>
      </w:r>
      <w:r w:rsidRPr="0003607D">
        <w:rPr>
          <w:lang w:val="fr-FR"/>
        </w:rPr>
        <w:t xml:space="preserve">Au moins 18 lieux de détention ont été visités. </w:t>
      </w:r>
      <w:r w:rsidRPr="00264799">
        <w:t>Les visites laissent un constat très alarmant quant au non-respect par l’</w:t>
      </w:r>
      <w:proofErr w:type="spellStart"/>
      <w:r w:rsidRPr="00264799">
        <w:t>Etat</w:t>
      </w:r>
      <w:proofErr w:type="spellEnd"/>
      <w:r w:rsidRPr="00264799">
        <w:t xml:space="preserve"> de ses propres engagements relatifs aux conditions de détention des personnes incarcérées.</w:t>
      </w:r>
      <w:r>
        <w:rPr>
          <w:lang w:val="fr-FR"/>
        </w:rPr>
        <w:t xml:space="preserve"> </w:t>
      </w:r>
      <w:r w:rsidRPr="0003607D">
        <w:rPr>
          <w:lang w:val="fr-FR"/>
        </w:rPr>
        <w:t xml:space="preserve">La majorité de ces lieux de détention échappent aux règles standards régionales et nationales applicables aux personnes privées de liberté. </w:t>
      </w:r>
    </w:p>
    <w:p w14:paraId="1EB5DF1B" w14:textId="77777777" w:rsidR="00484D0D" w:rsidRPr="00264799" w:rsidRDefault="00484D0D" w:rsidP="00484D0D">
      <w:pPr>
        <w:tabs>
          <w:tab w:val="left" w:pos="6521"/>
        </w:tabs>
        <w:spacing w:before="240" w:line="276" w:lineRule="auto"/>
        <w:jc w:val="both"/>
      </w:pPr>
      <w:r w:rsidRPr="00264799">
        <w:t>Dans les lieux tenus par les</w:t>
      </w:r>
      <w:r>
        <w:t xml:space="preserve"> Forces de sécurité intérieures</w:t>
      </w:r>
      <w:r w:rsidRPr="00264799">
        <w:t xml:space="preserve"> </w:t>
      </w:r>
      <w:r>
        <w:t>(</w:t>
      </w:r>
      <w:r w:rsidRPr="00264799">
        <w:t>FSI</w:t>
      </w:r>
      <w:r>
        <w:t>)</w:t>
      </w:r>
      <w:r w:rsidRPr="00264799">
        <w:t>, les dispositions du code de procédure pénal</w:t>
      </w:r>
      <w:r>
        <w:t>e</w:t>
      </w:r>
      <w:r w:rsidRPr="00264799">
        <w:t xml:space="preserve"> relati</w:t>
      </w:r>
      <w:r>
        <w:t>ves</w:t>
      </w:r>
      <w:r w:rsidRPr="00264799">
        <w:t xml:space="preserve"> au délai des gardes à vues, </w:t>
      </w:r>
      <w:r>
        <w:t>et aux garanties juridiques fondamentales</w:t>
      </w:r>
      <w:r w:rsidRPr="00264799">
        <w:t xml:space="preserve"> sont ignorées. La surpopulation carcérale dans ces lieux de détention contribue à accentuer les </w:t>
      </w:r>
      <w:r>
        <w:t xml:space="preserve">mauvaises </w:t>
      </w:r>
      <w:r w:rsidRPr="00264799">
        <w:t>conditions matérielles et le non-respect des droits fondamentaux par la chaine pénale. Cette surpopulation détériore les conditions physiques et sanitaires par la transmission des maladies infectieuses transmissibles (tuberculose, maladies dermatologies). Les déficiences graves de l’hygiène d’accès aux soins, accès limité à l’eau transforment cet établissement en un véritable mouroir.</w:t>
      </w:r>
    </w:p>
    <w:p w14:paraId="423CBF4A" w14:textId="77777777" w:rsidR="00484D0D" w:rsidRPr="0003607D" w:rsidRDefault="00484D0D" w:rsidP="00484D0D">
      <w:pPr>
        <w:spacing w:before="240" w:line="276" w:lineRule="auto"/>
        <w:jc w:val="both"/>
      </w:pPr>
      <w:r w:rsidRPr="00264799">
        <w:rPr>
          <w:rStyle w:val="apple-converted-space"/>
          <w:rFonts w:eastAsiaTheme="majorEastAsia"/>
        </w:rPr>
        <w:t xml:space="preserve">Lors de la mission effectuée au Tchad en septembre </w:t>
      </w:r>
      <w:r w:rsidRPr="0003607D">
        <w:rPr>
          <w:rStyle w:val="apple-converted-space"/>
          <w:rFonts w:eastAsiaTheme="majorEastAsia"/>
          <w:color w:val="000000"/>
        </w:rPr>
        <w:t xml:space="preserve">2024, l’OMCT a conduit une mission conjointe avec la CNDH au sein de la </w:t>
      </w:r>
      <w:r w:rsidRPr="0003607D">
        <w:t xml:space="preserve">maison d’arrêt et de correction </w:t>
      </w:r>
      <w:r w:rsidRPr="0003607D">
        <w:rPr>
          <w:rStyle w:val="apple-converted-space"/>
          <w:rFonts w:eastAsiaTheme="majorEastAsia"/>
          <w:color w:val="000000"/>
        </w:rPr>
        <w:t xml:space="preserve">de </w:t>
      </w:r>
      <w:proofErr w:type="spellStart"/>
      <w:r w:rsidRPr="0003607D">
        <w:rPr>
          <w:rStyle w:val="apple-converted-space"/>
          <w:rFonts w:eastAsiaTheme="majorEastAsia"/>
          <w:color w:val="000000"/>
        </w:rPr>
        <w:t>Klessoum</w:t>
      </w:r>
      <w:proofErr w:type="spellEnd"/>
      <w:r>
        <w:rPr>
          <w:rStyle w:val="apple-converted-space"/>
          <w:rFonts w:eastAsiaTheme="majorEastAsia"/>
          <w:color w:val="000000"/>
        </w:rPr>
        <w:t>,</w:t>
      </w:r>
      <w:r w:rsidRPr="0003607D">
        <w:rPr>
          <w:rStyle w:val="apple-converted-space"/>
          <w:rFonts w:eastAsiaTheme="majorEastAsia"/>
          <w:color w:val="000000"/>
        </w:rPr>
        <w:t xml:space="preserve"> qui </w:t>
      </w:r>
      <w:r w:rsidRPr="0003607D">
        <w:t>abrite en son sein 3440 détenus dont 70 mineurs, 50 femmes et 414 prisonniers de guerres</w:t>
      </w:r>
      <w:r>
        <w:rPr>
          <w:rStyle w:val="apple-converted-space"/>
          <w:rFonts w:eastAsiaTheme="majorEastAsia"/>
          <w:color w:val="000000"/>
        </w:rPr>
        <w:t xml:space="preserve">, </w:t>
      </w:r>
      <w:r w:rsidRPr="0003607D">
        <w:rPr>
          <w:rStyle w:val="apple-converted-space"/>
          <w:rFonts w:eastAsiaTheme="majorEastAsia"/>
          <w:color w:val="000000"/>
        </w:rPr>
        <w:t>pour une capacité</w:t>
      </w:r>
      <w:r>
        <w:rPr>
          <w:rStyle w:val="apple-converted-space"/>
          <w:rFonts w:eastAsiaTheme="majorEastAsia"/>
          <w:color w:val="000000"/>
        </w:rPr>
        <w:t xml:space="preserve"> d’accueil</w:t>
      </w:r>
      <w:r w:rsidRPr="0003607D">
        <w:rPr>
          <w:rStyle w:val="apple-converted-space"/>
          <w:rFonts w:eastAsiaTheme="majorEastAsia"/>
          <w:color w:val="000000"/>
        </w:rPr>
        <w:t xml:space="preserve"> de 1000 places. La majorité des détenus rencontrés ont affirmé ne pas avoir accès à un avocat. Ce qui encourage les détentions préventives de longue durée excessive, cause principale de la surpopulation carcérale. La prison compte un infirmier et un médecin qui y viennent 2 fois par semaine. Les détenus ont accès à deux repas par jours de mauvaises qualités. </w:t>
      </w:r>
      <w:r>
        <w:rPr>
          <w:rStyle w:val="apple-converted-space"/>
          <w:rFonts w:eastAsiaTheme="majorEastAsia"/>
          <w:color w:val="000000"/>
        </w:rPr>
        <w:t>Il a aussi été</w:t>
      </w:r>
      <w:r w:rsidRPr="0003607D">
        <w:rPr>
          <w:rStyle w:val="apple-converted-space"/>
          <w:rFonts w:eastAsiaTheme="majorEastAsia"/>
          <w:color w:val="000000"/>
        </w:rPr>
        <w:t xml:space="preserve"> constaté des problèmes d’absence de couchages et de literie</w:t>
      </w:r>
      <w:r>
        <w:rPr>
          <w:rStyle w:val="apple-converted-space"/>
          <w:rFonts w:eastAsiaTheme="majorEastAsia"/>
          <w:color w:val="000000"/>
        </w:rPr>
        <w:t>, y compris pour les mineurs</w:t>
      </w:r>
      <w:r w:rsidRPr="0003607D">
        <w:rPr>
          <w:rStyle w:val="apple-converted-space"/>
          <w:rFonts w:eastAsiaTheme="majorEastAsia"/>
          <w:color w:val="000000"/>
        </w:rPr>
        <w:t xml:space="preserve">. </w:t>
      </w:r>
    </w:p>
    <w:p w14:paraId="596F7190" w14:textId="77777777" w:rsidR="00484D0D" w:rsidRPr="0003607D" w:rsidRDefault="00484D0D" w:rsidP="00484D0D">
      <w:pPr>
        <w:pStyle w:val="NormalWeb"/>
        <w:spacing w:line="276" w:lineRule="auto"/>
        <w:rPr>
          <w:color w:val="000000"/>
        </w:rPr>
      </w:pPr>
      <w:r w:rsidRPr="0003607D">
        <w:rPr>
          <w:color w:val="000000"/>
        </w:rPr>
        <w:t>Face à ces défis, les autorités tchadiennes ont entrepris plusieurs actions :</w:t>
      </w:r>
    </w:p>
    <w:p w14:paraId="236486EB" w14:textId="77777777" w:rsidR="00484D0D" w:rsidRPr="0003607D" w:rsidRDefault="00484D0D" w:rsidP="00484D0D">
      <w:pPr>
        <w:pStyle w:val="NormalWeb"/>
        <w:numPr>
          <w:ilvl w:val="0"/>
          <w:numId w:val="6"/>
        </w:numPr>
        <w:spacing w:line="276" w:lineRule="auto"/>
        <w:jc w:val="both"/>
        <w:rPr>
          <w:rStyle w:val="apple-converted-space"/>
          <w:rFonts w:eastAsiaTheme="majorEastAsia"/>
        </w:rPr>
      </w:pPr>
      <w:r w:rsidRPr="0003607D">
        <w:rPr>
          <w:rStyle w:val="apple-converted-space"/>
          <w:rFonts w:eastAsiaTheme="majorEastAsia"/>
        </w:rPr>
        <w:t xml:space="preserve">En 2023 et 2024, le Président de la République a respectivement signé les décrets </w:t>
      </w:r>
      <w:r w:rsidRPr="0003607D">
        <w:rPr>
          <w:rStyle w:val="apple-converted-space"/>
          <w:rFonts w:eastAsiaTheme="majorEastAsia"/>
          <w:color w:val="000000"/>
        </w:rPr>
        <w:t>N°3889/PT/2023 du 27 décembre 2023</w:t>
      </w:r>
      <w:r w:rsidRPr="0003607D">
        <w:rPr>
          <w:rStyle w:val="apple-converted-space"/>
          <w:rFonts w:eastAsiaTheme="majorEastAsia"/>
        </w:rPr>
        <w:t xml:space="preserve"> et N°2012/PR/PM/MJDH/2024 du 31 décembre </w:t>
      </w:r>
      <w:r w:rsidRPr="0003607D">
        <w:rPr>
          <w:rStyle w:val="apple-converted-space"/>
          <w:rFonts w:eastAsiaTheme="majorEastAsia"/>
        </w:rPr>
        <w:lastRenderedPageBreak/>
        <w:t>2024 accordant des remises collectives de peines aux condamnés de droit commun afin de contribuer à la réduction de la population carcérale</w:t>
      </w:r>
      <w:r>
        <w:rPr>
          <w:rStyle w:val="apple-converted-space"/>
          <w:rFonts w:eastAsiaTheme="majorEastAsia"/>
        </w:rPr>
        <w:t xml:space="preserve">. Cela a permis des remises collectives de peine et la libération de plusieurs centaines de détenus entre 2024 et 2025. Au total, 282 détenus ont été remis en liberté dans les maisons d’arrêt de Lai, Abéché, Sarh, Mao et </w:t>
      </w:r>
      <w:proofErr w:type="spellStart"/>
      <w:r>
        <w:rPr>
          <w:rStyle w:val="apple-converted-space"/>
          <w:rFonts w:eastAsiaTheme="majorEastAsia"/>
        </w:rPr>
        <w:t>Klessoum</w:t>
      </w:r>
      <w:proofErr w:type="spellEnd"/>
      <w:r>
        <w:rPr>
          <w:rStyle w:val="apple-converted-space"/>
          <w:rFonts w:eastAsiaTheme="majorEastAsia"/>
        </w:rPr>
        <w:t>,</w:t>
      </w:r>
      <w:r>
        <w:rPr>
          <w:rStyle w:val="FootnoteReference"/>
          <w:rFonts w:eastAsiaTheme="majorEastAsia"/>
        </w:rPr>
        <w:footnoteReference w:id="23"/>
      </w:r>
      <w:r>
        <w:rPr>
          <w:rStyle w:val="apple-converted-space"/>
          <w:rFonts w:eastAsiaTheme="majorEastAsia"/>
        </w:rPr>
        <w:t xml:space="preserve"> ainsi que 270 détenus ayant bénéficié d’une remise de peine dans les maisons d’arrêt de Mongo et </w:t>
      </w:r>
      <w:proofErr w:type="spellStart"/>
      <w:r>
        <w:rPr>
          <w:rStyle w:val="apple-converted-space"/>
          <w:rFonts w:eastAsiaTheme="majorEastAsia"/>
        </w:rPr>
        <w:t>Faya</w:t>
      </w:r>
      <w:proofErr w:type="spellEnd"/>
      <w:r>
        <w:rPr>
          <w:rStyle w:val="apple-converted-space"/>
          <w:rFonts w:eastAsiaTheme="majorEastAsia"/>
        </w:rPr>
        <w:t>.</w:t>
      </w:r>
    </w:p>
    <w:p w14:paraId="6298A489" w14:textId="77777777" w:rsidR="00484D0D" w:rsidRDefault="00484D0D" w:rsidP="00484D0D">
      <w:pPr>
        <w:pStyle w:val="NormalWeb"/>
        <w:numPr>
          <w:ilvl w:val="0"/>
          <w:numId w:val="6"/>
        </w:numPr>
        <w:spacing w:line="276" w:lineRule="auto"/>
        <w:jc w:val="both"/>
        <w:rPr>
          <w:rStyle w:val="apple-converted-space"/>
          <w:rFonts w:eastAsiaTheme="majorEastAsia"/>
        </w:rPr>
      </w:pPr>
      <w:r w:rsidRPr="0003607D">
        <w:rPr>
          <w:rStyle w:val="apple-converted-space"/>
          <w:rFonts w:eastAsiaTheme="majorEastAsia"/>
        </w:rPr>
        <w:t>Circulaire ministérielle du 25 juin 2024</w:t>
      </w:r>
      <w:r>
        <w:rPr>
          <w:rStyle w:val="apple-converted-space"/>
          <w:rFonts w:eastAsiaTheme="majorEastAsia"/>
        </w:rPr>
        <w:t xml:space="preserve"> appelant les </w:t>
      </w:r>
      <w:r w:rsidRPr="00FE343E">
        <w:rPr>
          <w:rStyle w:val="apple-converted-space"/>
          <w:rFonts w:eastAsiaTheme="majorEastAsia"/>
        </w:rPr>
        <w:t>procureurs généraux, présidents des Cours d’appel, procureurs de la République et le coordonnateur général de la police judiciaire de « contrôler de manière régulière les violons de leurs ressorts et de procéder à la libération des personnes illégalement détenues »</w:t>
      </w:r>
      <w:r>
        <w:rPr>
          <w:rStyle w:val="FootnoteReference"/>
          <w:rFonts w:eastAsiaTheme="majorEastAsia"/>
        </w:rPr>
        <w:footnoteReference w:id="24"/>
      </w:r>
      <w:r w:rsidRPr="00FE343E">
        <w:rPr>
          <w:rStyle w:val="apple-converted-space"/>
          <w:rFonts w:eastAsiaTheme="majorEastAsia"/>
        </w:rPr>
        <w:t>.</w:t>
      </w:r>
    </w:p>
    <w:p w14:paraId="208084B7" w14:textId="533E3852" w:rsidR="00583023" w:rsidRPr="00392F2D" w:rsidRDefault="00583023" w:rsidP="00A013EE">
      <w:pPr>
        <w:spacing w:before="100" w:beforeAutospacing="1" w:after="100" w:afterAutospacing="1"/>
        <w:jc w:val="both"/>
        <w:rPr>
          <w:color w:val="000000" w:themeColor="text1"/>
          <w:lang w:val="fr-FR" w:eastAsia="fr-FR"/>
        </w:rPr>
      </w:pPr>
      <w:r w:rsidRPr="00392F2D">
        <w:rPr>
          <w:color w:val="000000" w:themeColor="text1"/>
          <w:lang w:val="fr-FR" w:eastAsia="fr-FR"/>
        </w:rPr>
        <w:t xml:space="preserve">En 2025, les </w:t>
      </w:r>
      <w:r w:rsidRPr="00392F2D">
        <w:rPr>
          <w:bCs/>
          <w:color w:val="000000" w:themeColor="text1"/>
          <w:lang w:val="fr-FR" w:eastAsia="fr-FR"/>
        </w:rPr>
        <w:t>conditions de détention au Tchad demeurent préoccupantes</w:t>
      </w:r>
      <w:r w:rsidRPr="00392F2D">
        <w:rPr>
          <w:color w:val="000000" w:themeColor="text1"/>
          <w:lang w:val="fr-FR" w:eastAsia="fr-FR"/>
        </w:rPr>
        <w:t>, malgré quelques mesures humanitaires ponctuelles.</w:t>
      </w:r>
    </w:p>
    <w:p w14:paraId="7FA0B18F" w14:textId="41A34D07" w:rsidR="00583023" w:rsidRPr="00392F2D" w:rsidRDefault="00583023" w:rsidP="00583023">
      <w:pPr>
        <w:pStyle w:val="NormalWeb"/>
        <w:spacing w:line="276" w:lineRule="auto"/>
        <w:jc w:val="both"/>
        <w:rPr>
          <w:color w:val="000000" w:themeColor="text1"/>
          <w:lang w:val="fr-FR" w:eastAsia="fr-FR"/>
        </w:rPr>
      </w:pPr>
      <w:r w:rsidRPr="00392F2D">
        <w:rPr>
          <w:color w:val="000000" w:themeColor="text1"/>
          <w:lang w:val="fr-FR" w:eastAsia="fr-FR"/>
        </w:rPr>
        <w:t xml:space="preserve">À la </w:t>
      </w:r>
      <w:r w:rsidRPr="00392F2D">
        <w:rPr>
          <w:bCs/>
          <w:color w:val="000000" w:themeColor="text1"/>
          <w:lang w:val="fr-FR" w:eastAsia="fr-FR"/>
        </w:rPr>
        <w:t xml:space="preserve">maison d’arrêt de </w:t>
      </w:r>
      <w:proofErr w:type="spellStart"/>
      <w:r w:rsidRPr="00392F2D">
        <w:rPr>
          <w:bCs/>
          <w:color w:val="000000" w:themeColor="text1"/>
          <w:lang w:val="fr-FR" w:eastAsia="fr-FR"/>
        </w:rPr>
        <w:t>Klessoum</w:t>
      </w:r>
      <w:proofErr w:type="spellEnd"/>
      <w:r w:rsidRPr="00392F2D">
        <w:rPr>
          <w:color w:val="000000" w:themeColor="text1"/>
          <w:lang w:val="fr-FR" w:eastAsia="fr-FR"/>
        </w:rPr>
        <w:t xml:space="preserve">, le </w:t>
      </w:r>
      <w:r w:rsidRPr="00392F2D">
        <w:rPr>
          <w:bCs/>
          <w:color w:val="000000" w:themeColor="text1"/>
          <w:lang w:val="fr-FR" w:eastAsia="fr-FR"/>
        </w:rPr>
        <w:t>parquet a mis fin à la détention abusive de 73 détenus</w:t>
      </w:r>
      <w:r w:rsidRPr="00392F2D">
        <w:rPr>
          <w:color w:val="000000" w:themeColor="text1"/>
          <w:lang w:val="fr-FR" w:eastAsia="fr-FR"/>
        </w:rPr>
        <w:t xml:space="preserve"> après constat de </w:t>
      </w:r>
      <w:r w:rsidRPr="00392F2D">
        <w:rPr>
          <w:bCs/>
          <w:color w:val="000000" w:themeColor="text1"/>
          <w:lang w:val="fr-FR" w:eastAsia="fr-FR"/>
        </w:rPr>
        <w:t>défauts de suivi de l’exécution des peines, de détentions au</w:t>
      </w:r>
      <w:r w:rsidRPr="00392F2D">
        <w:rPr>
          <w:bCs/>
          <w:color w:val="000000" w:themeColor="text1"/>
          <w:lang w:val="fr-FR" w:eastAsia="fr-FR"/>
        </w:rPr>
        <w:noBreakHyphen/>
        <w:t>delà des délais légaux, de lenteur judiciaire et de mauvaise qualité de la nourriture</w:t>
      </w:r>
      <w:r w:rsidRPr="00392F2D">
        <w:rPr>
          <w:color w:val="000000" w:themeColor="text1"/>
          <w:lang w:val="fr-FR" w:eastAsia="fr-FR"/>
        </w:rPr>
        <w:t>, liées notamment à la surpopulation carcérale et à l’absence de comparution régulière devant un juge.</w:t>
      </w:r>
      <w:r w:rsidR="007C6238" w:rsidRPr="00392F2D">
        <w:rPr>
          <w:rStyle w:val="FootnoteReference"/>
          <w:color w:val="000000" w:themeColor="text1"/>
          <w:lang w:val="fr-FR" w:eastAsia="fr-FR"/>
        </w:rPr>
        <w:footnoteReference w:id="25"/>
      </w:r>
      <w:r w:rsidRPr="00392F2D">
        <w:rPr>
          <w:color w:val="000000" w:themeColor="text1"/>
          <w:lang w:val="fr-FR" w:eastAsia="fr-FR"/>
        </w:rPr>
        <w:t xml:space="preserve"> Une </w:t>
      </w:r>
      <w:r w:rsidRPr="00392F2D">
        <w:rPr>
          <w:bCs/>
          <w:color w:val="000000" w:themeColor="text1"/>
          <w:lang w:val="fr-FR" w:eastAsia="fr-FR"/>
        </w:rPr>
        <w:t>commission spéciale a été mise en place par arrêté ministériel en 2025</w:t>
      </w:r>
      <w:r w:rsidRPr="00392F2D">
        <w:rPr>
          <w:color w:val="000000" w:themeColor="text1"/>
          <w:lang w:val="fr-FR" w:eastAsia="fr-FR"/>
        </w:rPr>
        <w:t xml:space="preserve"> pour évaluer la population carcérale, contrôler l’exécution des peines, examiner les dossiers des détenus et proposer des solutions pour améliorer la gestion pénitentiaire. </w:t>
      </w:r>
    </w:p>
    <w:p w14:paraId="08CC3422" w14:textId="219F843C" w:rsidR="00583023" w:rsidRPr="00392F2D" w:rsidRDefault="00583023" w:rsidP="008E06C3">
      <w:pPr>
        <w:pStyle w:val="NormalWeb"/>
        <w:spacing w:line="276" w:lineRule="auto"/>
        <w:jc w:val="both"/>
        <w:rPr>
          <w:color w:val="000000" w:themeColor="text1"/>
        </w:rPr>
      </w:pPr>
      <w:r w:rsidRPr="00392F2D">
        <w:rPr>
          <w:color w:val="000000" w:themeColor="text1"/>
        </w:rPr>
        <w:t xml:space="preserve">Cependant, les conditions de vie restent très difficiles : </w:t>
      </w:r>
      <w:r w:rsidRPr="00392F2D">
        <w:rPr>
          <w:rStyle w:val="Strong"/>
          <w:rFonts w:eastAsiaTheme="majorEastAsia"/>
          <w:b w:val="0"/>
          <w:color w:val="000000" w:themeColor="text1"/>
        </w:rPr>
        <w:t>alimentation insuffisante, accès limité aux soins, isolement et tortures documentées</w:t>
      </w:r>
      <w:r w:rsidRPr="00392F2D">
        <w:rPr>
          <w:b/>
          <w:color w:val="000000" w:themeColor="text1"/>
        </w:rPr>
        <w:t>,</w:t>
      </w:r>
      <w:r w:rsidRPr="00392F2D">
        <w:rPr>
          <w:color w:val="000000" w:themeColor="text1"/>
        </w:rPr>
        <w:t xml:space="preserve"> entraînant des blessures graves et des décès.</w:t>
      </w:r>
    </w:p>
    <w:p w14:paraId="6F9F286B" w14:textId="1E183383" w:rsidR="00583023" w:rsidRPr="00392F2D" w:rsidRDefault="00583023" w:rsidP="00A013EE">
      <w:pPr>
        <w:spacing w:before="100" w:beforeAutospacing="1" w:after="100" w:afterAutospacing="1"/>
        <w:jc w:val="both"/>
        <w:rPr>
          <w:rStyle w:val="apple-converted-space"/>
          <w:color w:val="000000" w:themeColor="text1"/>
          <w:lang w:val="fr-FR" w:eastAsia="fr-FR"/>
        </w:rPr>
      </w:pPr>
      <w:r w:rsidRPr="00392F2D">
        <w:rPr>
          <w:color w:val="000000" w:themeColor="text1"/>
          <w:lang w:val="fr-FR" w:eastAsia="fr-FR"/>
        </w:rPr>
        <w:t xml:space="preserve">Pour répondre à ces défis, les autorités ont pris des mesures ponctuelles : </w:t>
      </w:r>
      <w:r w:rsidRPr="00392F2D">
        <w:rPr>
          <w:bCs/>
          <w:color w:val="000000" w:themeColor="text1"/>
          <w:lang w:val="fr-FR" w:eastAsia="fr-FR"/>
        </w:rPr>
        <w:t>remises collectives de peine</w:t>
      </w:r>
      <w:r w:rsidRPr="00392F2D">
        <w:rPr>
          <w:color w:val="000000" w:themeColor="text1"/>
          <w:lang w:val="fr-FR" w:eastAsia="fr-FR"/>
        </w:rPr>
        <w:t xml:space="preserve"> entre 2023 et 2025 (au moins 550 détenus libérés) et une </w:t>
      </w:r>
      <w:r w:rsidRPr="00392F2D">
        <w:rPr>
          <w:bCs/>
          <w:color w:val="000000" w:themeColor="text1"/>
          <w:lang w:val="fr-FR" w:eastAsia="fr-FR"/>
        </w:rPr>
        <w:t>circulaire ministérielle</w:t>
      </w:r>
      <w:r w:rsidRPr="00392F2D">
        <w:rPr>
          <w:color w:val="000000" w:themeColor="text1"/>
          <w:lang w:val="fr-FR" w:eastAsia="fr-FR"/>
        </w:rPr>
        <w:t xml:space="preserve"> incitant les procureurs à vérifier les détentions illégales.</w:t>
      </w:r>
    </w:p>
    <w:p w14:paraId="719E86BD" w14:textId="585B59DB" w:rsidR="00583023" w:rsidRPr="00392F2D" w:rsidRDefault="00583023" w:rsidP="00A013EE">
      <w:pPr>
        <w:pStyle w:val="NormalWeb"/>
        <w:numPr>
          <w:ilvl w:val="0"/>
          <w:numId w:val="24"/>
        </w:numPr>
        <w:spacing w:line="276" w:lineRule="auto"/>
        <w:jc w:val="both"/>
        <w:rPr>
          <w:b/>
          <w:bCs/>
          <w:color w:val="000000" w:themeColor="text1"/>
        </w:rPr>
      </w:pPr>
      <w:r w:rsidRPr="00392F2D">
        <w:rPr>
          <w:b/>
          <w:bCs/>
          <w:color w:val="000000" w:themeColor="text1"/>
        </w:rPr>
        <w:t>Absence de réforme du code de procédure pénale</w:t>
      </w:r>
    </w:p>
    <w:p w14:paraId="0B2106D1" w14:textId="03DD5C9E" w:rsidR="00861612" w:rsidRPr="00A013EE" w:rsidRDefault="009D7897" w:rsidP="00A013EE">
      <w:pPr>
        <w:spacing w:before="100" w:beforeAutospacing="1" w:after="100" w:afterAutospacing="1"/>
        <w:jc w:val="both"/>
        <w:rPr>
          <w:color w:val="000000" w:themeColor="text1"/>
          <w:lang w:val="fr-FR" w:eastAsia="fr-FR"/>
        </w:rPr>
      </w:pPr>
      <w:r w:rsidRPr="00A013EE">
        <w:rPr>
          <w:color w:val="000000" w:themeColor="text1"/>
        </w:rPr>
        <w:t>L</w:t>
      </w:r>
      <w:r w:rsidR="00861612" w:rsidRPr="00A013EE">
        <w:rPr>
          <w:color w:val="000000" w:themeColor="text1"/>
          <w:lang w:val="fr-FR" w:eastAsia="fr-FR"/>
        </w:rPr>
        <w:t xml:space="preserve">es </w:t>
      </w:r>
      <w:r w:rsidR="00861612" w:rsidRPr="00A013EE">
        <w:rPr>
          <w:bCs/>
          <w:color w:val="000000" w:themeColor="text1"/>
          <w:lang w:val="fr-FR" w:eastAsia="fr-FR"/>
        </w:rPr>
        <w:t>réformes du Code de procédure pénale</w:t>
      </w:r>
      <w:r w:rsidR="00861612" w:rsidRPr="00A013EE">
        <w:rPr>
          <w:color w:val="000000" w:themeColor="text1"/>
          <w:lang w:val="fr-FR" w:eastAsia="fr-FR"/>
        </w:rPr>
        <w:t xml:space="preserve">, annoncées depuis 2023 pour clarifier les procédures et renforcer les garanties des détenus, </w:t>
      </w:r>
      <w:r w:rsidRPr="00A013EE">
        <w:rPr>
          <w:color w:val="000000" w:themeColor="text1"/>
          <w:lang w:val="fr-FR" w:eastAsia="fr-FR"/>
        </w:rPr>
        <w:t>n’ont pas encore été adoptées</w:t>
      </w:r>
      <w:r w:rsidR="00861612" w:rsidRPr="00A013EE">
        <w:rPr>
          <w:color w:val="000000" w:themeColor="text1"/>
          <w:lang w:val="fr-FR" w:eastAsia="fr-FR"/>
        </w:rPr>
        <w:t xml:space="preserve">. La mise en place </w:t>
      </w:r>
      <w:r w:rsidR="00861612" w:rsidRPr="00A013EE">
        <w:rPr>
          <w:bCs/>
          <w:color w:val="000000" w:themeColor="text1"/>
          <w:lang w:val="fr-FR" w:eastAsia="fr-FR"/>
        </w:rPr>
        <w:t>de mesures alternatives à la détention</w:t>
      </w:r>
      <w:r w:rsidR="00861612" w:rsidRPr="00A013EE">
        <w:rPr>
          <w:color w:val="000000" w:themeColor="text1"/>
          <w:lang w:val="fr-FR" w:eastAsia="fr-FR"/>
        </w:rPr>
        <w:t>, comme la liberté sous caution ou le contrôle judiciaire, est jugée urgente pour réduire la surpopulation et prévenir les abus.</w:t>
      </w:r>
    </w:p>
    <w:tbl>
      <w:tblPr>
        <w:tblStyle w:val="TableGrid"/>
        <w:tblW w:w="0" w:type="auto"/>
        <w:tblLook w:val="04A0" w:firstRow="1" w:lastRow="0" w:firstColumn="1" w:lastColumn="0" w:noHBand="0" w:noVBand="1"/>
      </w:tblPr>
      <w:tblGrid>
        <w:gridCol w:w="9062"/>
      </w:tblGrid>
      <w:tr w:rsidR="009D7897" w14:paraId="0A6CA14E" w14:textId="77777777" w:rsidTr="009D7897">
        <w:tc>
          <w:tcPr>
            <w:tcW w:w="9062" w:type="dxa"/>
          </w:tcPr>
          <w:p w14:paraId="28ACE5CA" w14:textId="77777777" w:rsidR="009D7897" w:rsidRDefault="009D7897" w:rsidP="009D7897">
            <w:pPr>
              <w:pStyle w:val="NormalWeb"/>
              <w:spacing w:line="276" w:lineRule="auto"/>
              <w:jc w:val="both"/>
              <w:rPr>
                <w:rStyle w:val="apple-converted-space"/>
                <w:rFonts w:eastAsiaTheme="majorEastAsia"/>
              </w:rPr>
            </w:pPr>
            <w:r>
              <w:rPr>
                <w:rStyle w:val="apple-converted-space"/>
                <w:rFonts w:eastAsiaTheme="majorEastAsia"/>
              </w:rPr>
              <w:t>Recommandations :</w:t>
            </w:r>
          </w:p>
          <w:p w14:paraId="0BF84390" w14:textId="77777777" w:rsidR="009D7897" w:rsidRPr="00392F2D" w:rsidRDefault="009D7897" w:rsidP="009D7897">
            <w:pPr>
              <w:pStyle w:val="ListParagraph"/>
              <w:numPr>
                <w:ilvl w:val="0"/>
                <w:numId w:val="5"/>
              </w:numPr>
              <w:spacing w:before="240" w:after="160" w:line="276" w:lineRule="auto"/>
              <w:jc w:val="both"/>
              <w:rPr>
                <w:color w:val="000000" w:themeColor="text1"/>
              </w:rPr>
            </w:pPr>
            <w:r w:rsidRPr="00392F2D">
              <w:rPr>
                <w:color w:val="000000" w:themeColor="text1"/>
              </w:rPr>
              <w:t xml:space="preserve">Mettre en œuvre des mécanismes d’investigation conformes aux standards internationaux (y compris la documentation et les enquêtes conformes au </w:t>
            </w:r>
            <w:r w:rsidRPr="00392F2D">
              <w:rPr>
                <w:rStyle w:val="Emphasis"/>
                <w:rFonts w:eastAsiaTheme="majorEastAsia"/>
                <w:color w:val="000000" w:themeColor="text1"/>
              </w:rPr>
              <w:t>Protocole d’Istanbul</w:t>
            </w:r>
            <w:r w:rsidRPr="00392F2D">
              <w:rPr>
                <w:color w:val="000000" w:themeColor="text1"/>
              </w:rPr>
              <w:t>),</w:t>
            </w:r>
          </w:p>
          <w:p w14:paraId="4E44A23C" w14:textId="77777777" w:rsidR="009D7897" w:rsidRPr="00F83635" w:rsidRDefault="009D7897" w:rsidP="009D7897">
            <w:pPr>
              <w:pStyle w:val="ListParagraph"/>
              <w:numPr>
                <w:ilvl w:val="0"/>
                <w:numId w:val="5"/>
              </w:numPr>
              <w:spacing w:before="240" w:after="160" w:line="276" w:lineRule="auto"/>
              <w:jc w:val="both"/>
            </w:pPr>
            <w:r w:rsidRPr="00F83635">
              <w:lastRenderedPageBreak/>
              <w:t>Réduire la surpopulation carcérale par des mesures alternatives à la détention provisoire et des programmes de réhabilitation.</w:t>
            </w:r>
          </w:p>
          <w:p w14:paraId="3A10B71B" w14:textId="77777777" w:rsidR="009D7897" w:rsidRPr="00F83635" w:rsidRDefault="009D7897" w:rsidP="009D7897">
            <w:pPr>
              <w:pStyle w:val="ListParagraph"/>
              <w:numPr>
                <w:ilvl w:val="0"/>
                <w:numId w:val="5"/>
              </w:numPr>
              <w:spacing w:before="240" w:after="160" w:line="276" w:lineRule="auto"/>
              <w:jc w:val="both"/>
            </w:pPr>
            <w:r w:rsidRPr="00F83635">
              <w:t>Renforcer la surveillance des conditions de détention par des organes indépendants.</w:t>
            </w:r>
          </w:p>
          <w:p w14:paraId="2E4D6273" w14:textId="77777777" w:rsidR="009D7897" w:rsidRPr="009D30FC" w:rsidRDefault="009D7897" w:rsidP="009D7897">
            <w:pPr>
              <w:pStyle w:val="ListParagraph"/>
              <w:numPr>
                <w:ilvl w:val="0"/>
                <w:numId w:val="5"/>
              </w:numPr>
              <w:spacing w:before="240" w:after="160" w:line="276" w:lineRule="auto"/>
              <w:jc w:val="both"/>
              <w:rPr>
                <w:rStyle w:val="apple-converted-space"/>
                <w:color w:val="000000"/>
              </w:rPr>
            </w:pPr>
            <w:r w:rsidRPr="00F83635">
              <w:t>Garantir un accès régulier des détenus à des soins de santé conformes aux normes</w:t>
            </w:r>
            <w:r w:rsidRPr="0003607D">
              <w:rPr>
                <w:color w:val="000000"/>
              </w:rPr>
              <w:t xml:space="preserve"> internationales.</w:t>
            </w:r>
          </w:p>
          <w:p w14:paraId="69C68EDF" w14:textId="77777777" w:rsidR="009D7897" w:rsidRPr="0003607D" w:rsidRDefault="009D7897" w:rsidP="009D7897">
            <w:pPr>
              <w:pStyle w:val="ListParagraph"/>
              <w:numPr>
                <w:ilvl w:val="0"/>
                <w:numId w:val="5"/>
              </w:numPr>
              <w:spacing w:before="240" w:after="160" w:line="276" w:lineRule="auto"/>
              <w:jc w:val="both"/>
            </w:pPr>
            <w:r w:rsidRPr="0003607D">
              <w:t xml:space="preserve">Affecter un personnel qualifié dans la prise en charge des </w:t>
            </w:r>
            <w:r>
              <w:t xml:space="preserve">victimes et </w:t>
            </w:r>
            <w:r w:rsidRPr="0003607D">
              <w:t>survivants au niveau des structures locales ;</w:t>
            </w:r>
          </w:p>
          <w:p w14:paraId="0163EA97" w14:textId="77777777" w:rsidR="009D7897" w:rsidRPr="0003607D" w:rsidRDefault="009D7897" w:rsidP="009D7897">
            <w:pPr>
              <w:pStyle w:val="ListParagraph"/>
              <w:numPr>
                <w:ilvl w:val="0"/>
                <w:numId w:val="5"/>
              </w:numPr>
              <w:spacing w:before="240" w:after="160" w:line="276" w:lineRule="auto"/>
              <w:jc w:val="both"/>
            </w:pPr>
            <w:r w:rsidRPr="0003607D">
              <w:t xml:space="preserve">Mettre en place un appareil judiciaire accessible et efficace pour rendre la justice à tous et appliquer les textes en vigueur ; </w:t>
            </w:r>
          </w:p>
          <w:p w14:paraId="712B53B5" w14:textId="77777777" w:rsidR="009D7897" w:rsidRPr="0003607D" w:rsidRDefault="009D7897" w:rsidP="009D7897">
            <w:pPr>
              <w:pStyle w:val="ListParagraph"/>
              <w:numPr>
                <w:ilvl w:val="0"/>
                <w:numId w:val="5"/>
              </w:numPr>
              <w:spacing w:before="240" w:after="160" w:line="276" w:lineRule="auto"/>
              <w:jc w:val="both"/>
            </w:pPr>
            <w:r w:rsidRPr="0003607D">
              <w:t xml:space="preserve">Accélérer et simplifier les procédures de jugement </w:t>
            </w:r>
            <w:r>
              <w:t xml:space="preserve">tout en garantissant les droits de la défense et droit à un procès équitable, </w:t>
            </w:r>
            <w:r w:rsidRPr="0003607D">
              <w:t xml:space="preserve">et faciliter les procédures de libération des détenus ayant purgé leurs peines ; </w:t>
            </w:r>
          </w:p>
          <w:p w14:paraId="26373115" w14:textId="77777777" w:rsidR="009D7897" w:rsidRPr="0003607D" w:rsidRDefault="009D7897" w:rsidP="009D7897">
            <w:pPr>
              <w:pStyle w:val="ListParagraph"/>
              <w:numPr>
                <w:ilvl w:val="0"/>
                <w:numId w:val="5"/>
              </w:numPr>
              <w:spacing w:before="240" w:after="160" w:line="276" w:lineRule="auto"/>
              <w:jc w:val="both"/>
            </w:pPr>
            <w:r>
              <w:t>A</w:t>
            </w:r>
            <w:r w:rsidRPr="0003607D">
              <w:t>ssurer une alimentation régulière</w:t>
            </w:r>
            <w:r>
              <w:t xml:space="preserve">, </w:t>
            </w:r>
            <w:r w:rsidRPr="0003607D">
              <w:t xml:space="preserve">nutritive </w:t>
            </w:r>
            <w:r>
              <w:t xml:space="preserve">et en quantité suffisante </w:t>
            </w:r>
            <w:r w:rsidRPr="0003607D">
              <w:t xml:space="preserve">aux détenus ; </w:t>
            </w:r>
          </w:p>
          <w:p w14:paraId="2E62A7E8" w14:textId="77777777" w:rsidR="009D7897" w:rsidRPr="0003607D" w:rsidRDefault="009D7897" w:rsidP="009D7897">
            <w:pPr>
              <w:pStyle w:val="ListParagraph"/>
              <w:numPr>
                <w:ilvl w:val="0"/>
                <w:numId w:val="5"/>
              </w:numPr>
              <w:spacing w:before="240" w:after="160" w:line="276" w:lineRule="auto"/>
              <w:jc w:val="both"/>
            </w:pPr>
            <w:r w:rsidRPr="0003607D">
              <w:t xml:space="preserve">Séparer les détenus selon leurs statuts juridiques distincts ; </w:t>
            </w:r>
          </w:p>
          <w:p w14:paraId="19D02861" w14:textId="77777777" w:rsidR="009D7897" w:rsidRPr="0003607D" w:rsidRDefault="009D7897" w:rsidP="009D7897">
            <w:pPr>
              <w:pStyle w:val="ListParagraph"/>
              <w:numPr>
                <w:ilvl w:val="0"/>
                <w:numId w:val="5"/>
              </w:numPr>
              <w:spacing w:before="240" w:after="160" w:line="276" w:lineRule="auto"/>
              <w:jc w:val="both"/>
            </w:pPr>
            <w:r w:rsidRPr="0003607D">
              <w:t>Renforcer les capacités des FSI, des personnels de santé et de l’Action sociale sur la procédure opérationnelle et standard de la prise en charge ;</w:t>
            </w:r>
          </w:p>
          <w:p w14:paraId="61A9D472" w14:textId="77777777" w:rsidR="009D7897" w:rsidRPr="0003607D" w:rsidRDefault="009D7897" w:rsidP="009D7897">
            <w:pPr>
              <w:pStyle w:val="ListParagraph"/>
              <w:numPr>
                <w:ilvl w:val="0"/>
                <w:numId w:val="5"/>
              </w:numPr>
              <w:spacing w:before="240" w:after="160" w:line="276" w:lineRule="auto"/>
              <w:jc w:val="both"/>
            </w:pPr>
            <w:r w:rsidRPr="0003607D">
              <w:t>Prendre des mesures disciplinaires à l’encontre des FSI qui entravent la procédure ;</w:t>
            </w:r>
          </w:p>
          <w:p w14:paraId="72679283" w14:textId="0423539C" w:rsidR="009D7897" w:rsidRPr="00A013EE" w:rsidRDefault="009D7897" w:rsidP="00A013EE">
            <w:pPr>
              <w:pStyle w:val="ListParagraph"/>
              <w:numPr>
                <w:ilvl w:val="0"/>
                <w:numId w:val="5"/>
              </w:numPr>
              <w:spacing w:before="240" w:after="160" w:line="276" w:lineRule="auto"/>
              <w:jc w:val="both"/>
            </w:pPr>
            <w:r w:rsidRPr="0003607D">
              <w:t>Renforce</w:t>
            </w:r>
            <w:r>
              <w:t>r l</w:t>
            </w:r>
            <w:r w:rsidRPr="0003607D">
              <w:t>es capacités des régisseurs de tou</w:t>
            </w:r>
            <w:r>
              <w:t>tes le</w:t>
            </w:r>
            <w:r w:rsidRPr="0003607D">
              <w:t>s maisons d’arrêts sur la situation des enfants en détention</w:t>
            </w:r>
            <w:r>
              <w:t>.</w:t>
            </w:r>
          </w:p>
        </w:tc>
      </w:tr>
    </w:tbl>
    <w:p w14:paraId="4B834CF8" w14:textId="2DBDA0C5" w:rsidR="00484D0D" w:rsidRPr="0003607D" w:rsidRDefault="00484D0D" w:rsidP="009D30FC">
      <w:pPr>
        <w:pStyle w:val="NormalWeb"/>
        <w:numPr>
          <w:ilvl w:val="0"/>
          <w:numId w:val="24"/>
        </w:numPr>
        <w:spacing w:line="276" w:lineRule="auto"/>
        <w:rPr>
          <w:rStyle w:val="apple-converted-space"/>
          <w:rFonts w:eastAsiaTheme="majorEastAsia"/>
          <w:color w:val="000000"/>
        </w:rPr>
      </w:pPr>
      <w:r w:rsidRPr="0003607D">
        <w:rPr>
          <w:rStyle w:val="Strong"/>
          <w:rFonts w:eastAsiaTheme="majorEastAsia"/>
          <w:color w:val="000000"/>
        </w:rPr>
        <w:lastRenderedPageBreak/>
        <w:t>Décès en détention</w:t>
      </w:r>
      <w:r w:rsidRPr="0003607D">
        <w:rPr>
          <w:rStyle w:val="apple-converted-space"/>
          <w:rFonts w:eastAsiaTheme="majorEastAsia"/>
          <w:color w:val="000000"/>
        </w:rPr>
        <w:t> </w:t>
      </w:r>
    </w:p>
    <w:p w14:paraId="336977BF" w14:textId="30673215" w:rsidR="00484D0D" w:rsidRPr="009D30FC" w:rsidRDefault="00484D0D" w:rsidP="009D30FC">
      <w:pPr>
        <w:pStyle w:val="NormalWeb"/>
        <w:spacing w:line="276" w:lineRule="auto"/>
        <w:jc w:val="both"/>
        <w:rPr>
          <w:color w:val="000000"/>
        </w:rPr>
      </w:pPr>
      <w:r w:rsidRPr="0003607D">
        <w:rPr>
          <w:color w:val="000000"/>
        </w:rPr>
        <w:t>Des décès en détention ont été signalés, souvent dans des circonstances non clarifiées, suscitant des questions sur les responsabilités et les mesures préventives mises en place.</w:t>
      </w:r>
      <w:r w:rsidR="009D30FC">
        <w:rPr>
          <w:color w:val="000000"/>
        </w:rPr>
        <w:t xml:space="preserve"> P</w:t>
      </w:r>
      <w:r w:rsidRPr="0003607D">
        <w:rPr>
          <w:color w:val="000000"/>
        </w:rPr>
        <w:t>our les décès signalés</w:t>
      </w:r>
      <w:r w:rsidR="009D30FC">
        <w:rPr>
          <w:color w:val="000000"/>
        </w:rPr>
        <w:t>, est constatée une a</w:t>
      </w:r>
      <w:r w:rsidR="009D30FC" w:rsidRPr="0003607D">
        <w:rPr>
          <w:color w:val="000000"/>
        </w:rPr>
        <w:t>bsence d’autopsies indépendantes</w:t>
      </w:r>
      <w:r w:rsidR="009D30FC">
        <w:rPr>
          <w:color w:val="000000"/>
        </w:rPr>
        <w:t xml:space="preserve"> et des allégations </w:t>
      </w:r>
      <w:r w:rsidRPr="009D30FC">
        <w:rPr>
          <w:color w:val="000000"/>
        </w:rPr>
        <w:t>liées à des abus, à la négligence médicale ou à des conditions carcérales inappropriées.</w:t>
      </w:r>
    </w:p>
    <w:p w14:paraId="40C9D766" w14:textId="6B5BE8F0" w:rsidR="00484D0D" w:rsidRPr="0003607D" w:rsidRDefault="00484D0D" w:rsidP="00484D0D">
      <w:pPr>
        <w:pStyle w:val="NormalWeb"/>
        <w:spacing w:line="276" w:lineRule="auto"/>
        <w:jc w:val="both"/>
        <w:rPr>
          <w:rFonts w:eastAsiaTheme="majorEastAsia"/>
          <w:color w:val="000000"/>
        </w:rPr>
      </w:pPr>
      <w:r w:rsidRPr="0003607D">
        <w:rPr>
          <w:color w:val="000000"/>
        </w:rPr>
        <w:t xml:space="preserve">Human </w:t>
      </w:r>
      <w:proofErr w:type="spellStart"/>
      <w:r w:rsidRPr="0003607D">
        <w:rPr>
          <w:color w:val="000000"/>
        </w:rPr>
        <w:t>Rights</w:t>
      </w:r>
      <w:proofErr w:type="spellEnd"/>
      <w:r w:rsidRPr="0003607D">
        <w:rPr>
          <w:color w:val="000000"/>
        </w:rPr>
        <w:t xml:space="preserve"> Watch a documenté la mort d'au moins 11 personnes liées à la prison de Koro Toro, soit pendant le trajet vers l'établissement, soit sur place, entre 2023 et 2024. Ces décès sont souvent attribués à des traitements inhumains, notamment des passages à tabac, le manque de soins médicaux et des conditions de transport inappropriées</w:t>
      </w:r>
      <w:r w:rsidRPr="0003607D">
        <w:rPr>
          <w:rStyle w:val="FootnoteReference"/>
          <w:color w:val="000000"/>
        </w:rPr>
        <w:footnoteReference w:id="26"/>
      </w:r>
      <w:r w:rsidRPr="0003607D">
        <w:rPr>
          <w:color w:val="000000"/>
        </w:rPr>
        <w:t>.</w:t>
      </w:r>
      <w:r w:rsidRPr="0003607D">
        <w:rPr>
          <w:rStyle w:val="apple-converted-space"/>
          <w:rFonts w:eastAsiaTheme="majorEastAsia"/>
          <w:color w:val="000000"/>
        </w:rPr>
        <w:t> </w:t>
      </w:r>
    </w:p>
    <w:p w14:paraId="1A593C66" w14:textId="77777777" w:rsidR="00484D0D" w:rsidRPr="0003607D" w:rsidRDefault="00484D0D" w:rsidP="00484D0D">
      <w:pPr>
        <w:pStyle w:val="NormalWeb"/>
        <w:spacing w:line="276" w:lineRule="auto"/>
        <w:jc w:val="both"/>
        <w:rPr>
          <w:color w:val="000000"/>
        </w:rPr>
      </w:pPr>
      <w:r w:rsidRPr="0003607D">
        <w:rPr>
          <w:color w:val="000000"/>
        </w:rPr>
        <w:t xml:space="preserve">Le ministre de la Justice, </w:t>
      </w:r>
      <w:proofErr w:type="spellStart"/>
      <w:r w:rsidRPr="0003607D">
        <w:rPr>
          <w:color w:val="000000"/>
        </w:rPr>
        <w:t>Abderahim</w:t>
      </w:r>
      <w:proofErr w:type="spellEnd"/>
      <w:r w:rsidRPr="0003607D">
        <w:rPr>
          <w:color w:val="000000"/>
        </w:rPr>
        <w:t xml:space="preserve"> </w:t>
      </w:r>
      <w:proofErr w:type="spellStart"/>
      <w:r w:rsidRPr="0003607D">
        <w:rPr>
          <w:color w:val="000000"/>
        </w:rPr>
        <w:t>Bireme</w:t>
      </w:r>
      <w:proofErr w:type="spellEnd"/>
      <w:r w:rsidRPr="0003607D">
        <w:rPr>
          <w:color w:val="000000"/>
        </w:rPr>
        <w:t xml:space="preserve"> Hamid, dans une circulaire datée du</w:t>
      </w:r>
      <w:r w:rsidRPr="0003607D">
        <w:rPr>
          <w:rStyle w:val="apple-converted-space"/>
          <w:rFonts w:eastAsiaTheme="majorEastAsia"/>
          <w:color w:val="000000"/>
        </w:rPr>
        <w:t> </w:t>
      </w:r>
      <w:r w:rsidRPr="0003607D">
        <w:rPr>
          <w:rStyle w:val="Strong"/>
          <w:rFonts w:eastAsiaTheme="majorEastAsia"/>
          <w:color w:val="000000"/>
        </w:rPr>
        <w:t>25 juin 2024</w:t>
      </w:r>
      <w:r w:rsidRPr="0003607D">
        <w:rPr>
          <w:color w:val="000000"/>
        </w:rPr>
        <w:t>, a confirmé que les décès récents sont liés à des conditions insalubres et à des gardes à vue prolongées au-delà des délais légaux prévus par le Code de procédure pénale.</w:t>
      </w:r>
    </w:p>
    <w:p w14:paraId="6C6ECE73" w14:textId="51BE524E" w:rsidR="00484D0D" w:rsidRPr="0003607D" w:rsidRDefault="009D30FC" w:rsidP="00484D0D">
      <w:pPr>
        <w:pStyle w:val="NormalWeb"/>
        <w:spacing w:line="276" w:lineRule="auto"/>
        <w:jc w:val="both"/>
        <w:rPr>
          <w:color w:val="000000"/>
        </w:rPr>
      </w:pPr>
      <w:r>
        <w:rPr>
          <w:color w:val="000000"/>
        </w:rPr>
        <w:t>L</w:t>
      </w:r>
      <w:r w:rsidR="00484D0D" w:rsidRPr="0003607D">
        <w:rPr>
          <w:color w:val="000000"/>
        </w:rPr>
        <w:t>e ministre de la Justice a adopté plusieurs mesures pour remédier à cette situation, notamment :</w:t>
      </w:r>
    </w:p>
    <w:p w14:paraId="71F2F0DC" w14:textId="77777777" w:rsidR="00484D0D" w:rsidRPr="0003607D" w:rsidRDefault="00484D0D" w:rsidP="00484D0D">
      <w:pPr>
        <w:pStyle w:val="NormalWeb"/>
        <w:numPr>
          <w:ilvl w:val="0"/>
          <w:numId w:val="6"/>
        </w:numPr>
        <w:spacing w:line="276" w:lineRule="auto"/>
        <w:rPr>
          <w:color w:val="000000"/>
        </w:rPr>
      </w:pPr>
      <w:r w:rsidRPr="0003607D">
        <w:rPr>
          <w:rStyle w:val="Strong"/>
          <w:rFonts w:eastAsiaTheme="majorEastAsia"/>
          <w:color w:val="000000"/>
        </w:rPr>
        <w:t>Contrôles renforcés</w:t>
      </w:r>
      <w:r w:rsidRPr="0003607D">
        <w:rPr>
          <w:rStyle w:val="apple-converted-space"/>
          <w:rFonts w:eastAsiaTheme="majorEastAsia"/>
          <w:color w:val="000000"/>
        </w:rPr>
        <w:t> </w:t>
      </w:r>
      <w:r w:rsidRPr="0003607D">
        <w:rPr>
          <w:color w:val="000000"/>
        </w:rPr>
        <w:t>: Les parquets doivent effectuer des inspections régulières des lieux de détention et vérifier le respect des délais légaux de garde à vue.</w:t>
      </w:r>
    </w:p>
    <w:p w14:paraId="100F1518" w14:textId="77777777" w:rsidR="00484D0D" w:rsidRPr="0003607D" w:rsidRDefault="00484D0D" w:rsidP="00484D0D">
      <w:pPr>
        <w:pStyle w:val="NormalWeb"/>
        <w:numPr>
          <w:ilvl w:val="0"/>
          <w:numId w:val="6"/>
        </w:numPr>
        <w:spacing w:line="276" w:lineRule="auto"/>
        <w:rPr>
          <w:color w:val="000000"/>
        </w:rPr>
      </w:pPr>
      <w:r w:rsidRPr="0003607D">
        <w:rPr>
          <w:rStyle w:val="Strong"/>
          <w:rFonts w:eastAsiaTheme="majorEastAsia"/>
          <w:color w:val="000000"/>
        </w:rPr>
        <w:lastRenderedPageBreak/>
        <w:t>Libération des détenus illégaux</w:t>
      </w:r>
      <w:r w:rsidRPr="0003607D">
        <w:rPr>
          <w:rStyle w:val="apple-converted-space"/>
          <w:rFonts w:eastAsiaTheme="majorEastAsia"/>
          <w:color w:val="000000"/>
        </w:rPr>
        <w:t> </w:t>
      </w:r>
      <w:r w:rsidRPr="0003607D">
        <w:rPr>
          <w:color w:val="000000"/>
        </w:rPr>
        <w:t>: Les parquets ont pour instruction de libérer les personnes détenues au-delà des périodes légales et de poursuivre les auteurs de détentions arbitraires.</w:t>
      </w:r>
    </w:p>
    <w:p w14:paraId="2DA90639" w14:textId="77777777" w:rsidR="00484D0D" w:rsidRPr="0003607D" w:rsidRDefault="00484D0D" w:rsidP="00484D0D">
      <w:pPr>
        <w:pStyle w:val="NormalWeb"/>
        <w:numPr>
          <w:ilvl w:val="0"/>
          <w:numId w:val="6"/>
        </w:numPr>
        <w:spacing w:line="276" w:lineRule="auto"/>
        <w:rPr>
          <w:rStyle w:val="Strong"/>
          <w:b w:val="0"/>
          <w:bCs w:val="0"/>
          <w:color w:val="000000"/>
        </w:rPr>
      </w:pPr>
      <w:r w:rsidRPr="0003607D">
        <w:rPr>
          <w:rStyle w:val="Strong"/>
          <w:rFonts w:eastAsiaTheme="majorEastAsia"/>
          <w:color w:val="000000"/>
        </w:rPr>
        <w:t>Rapports mensuels</w:t>
      </w:r>
      <w:r w:rsidRPr="0003607D">
        <w:rPr>
          <w:rStyle w:val="apple-converted-space"/>
          <w:rFonts w:eastAsiaTheme="majorEastAsia"/>
          <w:color w:val="000000"/>
        </w:rPr>
        <w:t> </w:t>
      </w:r>
      <w:r w:rsidRPr="0003607D">
        <w:rPr>
          <w:color w:val="000000"/>
        </w:rPr>
        <w:t xml:space="preserve">: Chaque parquet doit transmettre des rapports circonstanciés au </w:t>
      </w:r>
      <w:proofErr w:type="gramStart"/>
      <w:r w:rsidRPr="0003607D">
        <w:rPr>
          <w:color w:val="000000"/>
        </w:rPr>
        <w:t>Ministère</w:t>
      </w:r>
      <w:proofErr w:type="gramEnd"/>
      <w:r w:rsidRPr="0003607D">
        <w:rPr>
          <w:color w:val="000000"/>
        </w:rPr>
        <w:t xml:space="preserve"> de la Justice sur la situation des prévenus et des condamnés.</w:t>
      </w:r>
    </w:p>
    <w:p w14:paraId="48607DA4" w14:textId="77777777" w:rsidR="00484D0D" w:rsidRPr="0003607D" w:rsidRDefault="00484D0D" w:rsidP="00484D0D">
      <w:pPr>
        <w:pStyle w:val="NormalWeb"/>
        <w:spacing w:line="276" w:lineRule="auto"/>
        <w:jc w:val="both"/>
        <w:rPr>
          <w:color w:val="000000"/>
        </w:rPr>
      </w:pPr>
      <w:r w:rsidRPr="0003607D">
        <w:rPr>
          <w:color w:val="000000"/>
        </w:rPr>
        <w:t xml:space="preserve">Malgré ces initiatives, </w:t>
      </w:r>
      <w:r>
        <w:rPr>
          <w:color w:val="000000"/>
        </w:rPr>
        <w:t xml:space="preserve">les </w:t>
      </w:r>
      <w:r w:rsidRPr="0003607D">
        <w:rPr>
          <w:color w:val="000000"/>
        </w:rPr>
        <w:t>défis structurels du système pénitentiaire tchadien</w:t>
      </w:r>
      <w:r>
        <w:rPr>
          <w:color w:val="000000"/>
        </w:rPr>
        <w:t xml:space="preserve"> restent encore grands</w:t>
      </w:r>
      <w:r w:rsidRPr="0003607D">
        <w:rPr>
          <w:color w:val="000000"/>
        </w:rPr>
        <w:t xml:space="preserve">. Des réformes plus profondes, sont nécessaires notamment l'introduction de mesures </w:t>
      </w:r>
      <w:r>
        <w:rPr>
          <w:color w:val="000000"/>
        </w:rPr>
        <w:t>alternatives</w:t>
      </w:r>
      <w:r w:rsidRPr="0003607D">
        <w:rPr>
          <w:color w:val="000000"/>
        </w:rPr>
        <w:t xml:space="preserve"> à la détention provisoire, l'amélioration des infrastructures pénitentiaires et le respect strict des procédures légales pour prévenir les détentions arbitraires et les mauvais traitements en détention.</w:t>
      </w:r>
    </w:p>
    <w:p w14:paraId="38C0DA9D" w14:textId="77777777" w:rsidR="00484D0D" w:rsidRPr="0003607D" w:rsidRDefault="00484D0D" w:rsidP="00484D0D">
      <w:pPr>
        <w:pStyle w:val="NormalWeb"/>
        <w:spacing w:line="276" w:lineRule="auto"/>
        <w:jc w:val="both"/>
        <w:rPr>
          <w:color w:val="000000"/>
        </w:rPr>
      </w:pPr>
      <w:r>
        <w:rPr>
          <w:color w:val="000000"/>
        </w:rPr>
        <w:t>Les organisations signataires ont documenté les cas ci-dessous de décès en détention en 2025</w:t>
      </w:r>
      <w:r w:rsidRPr="0003607D">
        <w:rPr>
          <w:color w:val="000000"/>
        </w:rPr>
        <w:t> :</w:t>
      </w:r>
    </w:p>
    <w:p w14:paraId="598F914D" w14:textId="77777777" w:rsidR="00484D0D" w:rsidRPr="0003607D" w:rsidRDefault="00484D0D" w:rsidP="00484D0D">
      <w:pPr>
        <w:pStyle w:val="NormalWeb"/>
        <w:numPr>
          <w:ilvl w:val="0"/>
          <w:numId w:val="22"/>
        </w:numPr>
        <w:spacing w:line="276" w:lineRule="auto"/>
        <w:jc w:val="both"/>
        <w:rPr>
          <w:color w:val="000000"/>
        </w:rPr>
      </w:pPr>
      <w:r w:rsidRPr="0003607D">
        <w:rPr>
          <w:shd w:val="clear" w:color="auto" w:fill="FFFFFF"/>
        </w:rPr>
        <w:t>Le 19 avril 2025, 132 détenus se sont évadés d'une prison près de Mongo, dans le centre du Tchad, à la faveur d'une fusillade, un incident qui a fait au moins trois morts </w:t>
      </w:r>
      <w:r>
        <w:rPr>
          <w:shd w:val="clear" w:color="auto" w:fill="FFFFFF"/>
        </w:rPr>
        <w:t xml:space="preserve">résultant des tirs à balles réelles qu’ils ont reçu. Aucune enquête n’a été ouverte concernant cet incident </w:t>
      </w:r>
      <w:r w:rsidRPr="0003607D">
        <w:rPr>
          <w:shd w:val="clear" w:color="auto" w:fill="FFFFFF"/>
        </w:rPr>
        <w:t>;</w:t>
      </w:r>
    </w:p>
    <w:p w14:paraId="73C60FC3" w14:textId="77777777" w:rsidR="00484D0D" w:rsidRPr="0003607D" w:rsidRDefault="00484D0D" w:rsidP="00484D0D">
      <w:pPr>
        <w:pStyle w:val="NormalWeb"/>
        <w:numPr>
          <w:ilvl w:val="0"/>
          <w:numId w:val="22"/>
        </w:numPr>
        <w:spacing w:line="276" w:lineRule="auto"/>
        <w:jc w:val="both"/>
        <w:rPr>
          <w:color w:val="000000"/>
        </w:rPr>
      </w:pPr>
      <w:r w:rsidRPr="0003607D">
        <w:rPr>
          <w:color w:val="000000"/>
        </w:rPr>
        <w:t xml:space="preserve">Arrêté le 6 mars 2025 pour avoir séparé une bagarre devant son domicile, Mr GASSISSOU MAKTOUANDI, après une détention au CSP9 à </w:t>
      </w:r>
      <w:proofErr w:type="spellStart"/>
      <w:r w:rsidRPr="0003607D">
        <w:rPr>
          <w:color w:val="000000"/>
        </w:rPr>
        <w:t>Walia</w:t>
      </w:r>
      <w:proofErr w:type="spellEnd"/>
      <w:r w:rsidRPr="0003607D">
        <w:rPr>
          <w:color w:val="000000"/>
        </w:rPr>
        <w:t xml:space="preserve"> dans le 9</w:t>
      </w:r>
      <w:r w:rsidRPr="0003607D">
        <w:rPr>
          <w:color w:val="000000"/>
          <w:vertAlign w:val="superscript"/>
        </w:rPr>
        <w:t>e</w:t>
      </w:r>
      <w:r w:rsidRPr="0003607D">
        <w:rPr>
          <w:color w:val="000000"/>
        </w:rPr>
        <w:t xml:space="preserve"> Arrondissement de Ndjamena, aurait été victime de tor</w:t>
      </w:r>
      <w:r>
        <w:rPr>
          <w:color w:val="000000"/>
        </w:rPr>
        <w:t>t</w:t>
      </w:r>
      <w:r w:rsidRPr="0003607D">
        <w:rPr>
          <w:color w:val="000000"/>
        </w:rPr>
        <w:t>ure en détention pour ne pas avoir réglé une amende de 50000 FCFA. Libéré le 10 mars, il est décédé aux premières heures du lendemain</w:t>
      </w:r>
      <w:r>
        <w:rPr>
          <w:color w:val="000000"/>
        </w:rPr>
        <w:t xml:space="preserve"> suite des tortures qu’il a subies, étant précisé qu’il n’a pas eu accès à un médecin. Aucune enquête n’a été menée sur cet incident ; </w:t>
      </w:r>
    </w:p>
    <w:p w14:paraId="10578F0C" w14:textId="77777777" w:rsidR="00484D0D" w:rsidRPr="0003607D" w:rsidRDefault="00484D0D" w:rsidP="00484D0D">
      <w:pPr>
        <w:pStyle w:val="NormalWeb"/>
        <w:numPr>
          <w:ilvl w:val="0"/>
          <w:numId w:val="22"/>
        </w:numPr>
        <w:spacing w:line="276" w:lineRule="auto"/>
        <w:jc w:val="both"/>
        <w:rPr>
          <w:color w:val="000000"/>
        </w:rPr>
      </w:pPr>
      <w:r w:rsidRPr="0003607D">
        <w:rPr>
          <w:color w:val="000000"/>
        </w:rPr>
        <w:t xml:space="preserve">Le 27 mai 2025, le Procureur de la République près le Tribunal de Grande Instance de N’Djamena, M. Oumar Mahamat </w:t>
      </w:r>
      <w:proofErr w:type="spellStart"/>
      <w:r w:rsidRPr="0003607D">
        <w:rPr>
          <w:color w:val="000000"/>
        </w:rPr>
        <w:t>Kedelaye</w:t>
      </w:r>
      <w:proofErr w:type="spellEnd"/>
      <w:r w:rsidRPr="0003607D">
        <w:rPr>
          <w:color w:val="000000"/>
        </w:rPr>
        <w:t xml:space="preserve">, a tenu un point de presse important pour informer l’opinion publique sur le décès </w:t>
      </w:r>
      <w:r>
        <w:rPr>
          <w:color w:val="000000"/>
        </w:rPr>
        <w:t xml:space="preserve">en détention </w:t>
      </w:r>
      <w:r w:rsidRPr="0003607D">
        <w:rPr>
          <w:color w:val="000000"/>
        </w:rPr>
        <w:t xml:space="preserve">de trois personnes interpellées dans le cadre des événements survenus à </w:t>
      </w:r>
      <w:proofErr w:type="spellStart"/>
      <w:r w:rsidRPr="0003607D">
        <w:rPr>
          <w:color w:val="000000"/>
        </w:rPr>
        <w:t>Mandakao</w:t>
      </w:r>
      <w:proofErr w:type="spellEnd"/>
      <w:r w:rsidRPr="0003607D">
        <w:rPr>
          <w:color w:val="000000"/>
        </w:rPr>
        <w:t xml:space="preserve">, village situé à 18 km de </w:t>
      </w:r>
      <w:proofErr w:type="spellStart"/>
      <w:r w:rsidRPr="0003607D">
        <w:rPr>
          <w:color w:val="000000"/>
        </w:rPr>
        <w:t>Beinamar</w:t>
      </w:r>
      <w:proofErr w:type="spellEnd"/>
      <w:r w:rsidRPr="0003607D">
        <w:rPr>
          <w:color w:val="000000"/>
        </w:rPr>
        <w:t xml:space="preserve"> (Logone Occidental). </w:t>
      </w:r>
      <w:r>
        <w:rPr>
          <w:color w:val="000000"/>
        </w:rPr>
        <w:t xml:space="preserve">En effet, le 14 mai 2025, </w:t>
      </w:r>
      <w:proofErr w:type="spellStart"/>
      <w:r>
        <w:rPr>
          <w:color w:val="000000"/>
        </w:rPr>
        <w:t>Mandakao</w:t>
      </w:r>
      <w:proofErr w:type="spellEnd"/>
      <w:r>
        <w:rPr>
          <w:color w:val="000000"/>
        </w:rPr>
        <w:t xml:space="preserve"> a été le théâtre d’affrontements intercommunautaires qui ont fait au moins 35 morts. </w:t>
      </w:r>
      <w:r w:rsidRPr="0003607D">
        <w:rPr>
          <w:color w:val="000000"/>
        </w:rPr>
        <w:t>Les défunts faisaient partie des 84 personnes arrêtées et transférées à N’Djamena pour raison de sûreté publique. Les décès concernent :</w:t>
      </w:r>
    </w:p>
    <w:p w14:paraId="0A1785B8" w14:textId="77777777" w:rsidR="00484D0D" w:rsidRPr="0003607D" w:rsidRDefault="00484D0D" w:rsidP="00484D0D">
      <w:pPr>
        <w:pStyle w:val="NormalWeb"/>
        <w:numPr>
          <w:ilvl w:val="0"/>
          <w:numId w:val="23"/>
        </w:numPr>
        <w:spacing w:line="276" w:lineRule="auto"/>
        <w:jc w:val="both"/>
        <w:rPr>
          <w:color w:val="000000"/>
        </w:rPr>
      </w:pPr>
      <w:proofErr w:type="spellStart"/>
      <w:r w:rsidRPr="0003607D">
        <w:rPr>
          <w:color w:val="000000"/>
        </w:rPr>
        <w:t>Ndiguemel</w:t>
      </w:r>
      <w:proofErr w:type="spellEnd"/>
      <w:r w:rsidRPr="0003607D">
        <w:rPr>
          <w:color w:val="000000"/>
        </w:rPr>
        <w:t xml:space="preserve"> Albert, décédé des suites d’une pathologie pulmonaire préexistante ;</w:t>
      </w:r>
    </w:p>
    <w:p w14:paraId="4371ACD3" w14:textId="77777777" w:rsidR="00484D0D" w:rsidRPr="0003607D" w:rsidRDefault="00484D0D" w:rsidP="00484D0D">
      <w:pPr>
        <w:pStyle w:val="NormalWeb"/>
        <w:numPr>
          <w:ilvl w:val="0"/>
          <w:numId w:val="23"/>
        </w:numPr>
        <w:spacing w:line="276" w:lineRule="auto"/>
        <w:jc w:val="both"/>
        <w:rPr>
          <w:color w:val="000000"/>
        </w:rPr>
      </w:pPr>
      <w:proofErr w:type="spellStart"/>
      <w:r w:rsidRPr="0003607D">
        <w:rPr>
          <w:color w:val="000000"/>
        </w:rPr>
        <w:t>Alanodji</w:t>
      </w:r>
      <w:proofErr w:type="spellEnd"/>
      <w:r w:rsidRPr="0003607D">
        <w:rPr>
          <w:color w:val="000000"/>
        </w:rPr>
        <w:t xml:space="preserve"> Elvis, décédé d’une hémorragie interne liée à un hématome antérieur à son incarcération ;</w:t>
      </w:r>
    </w:p>
    <w:p w14:paraId="7AFFF157" w14:textId="77777777" w:rsidR="00484D0D" w:rsidRPr="0003607D" w:rsidRDefault="00484D0D" w:rsidP="00484D0D">
      <w:pPr>
        <w:pStyle w:val="NormalWeb"/>
        <w:numPr>
          <w:ilvl w:val="0"/>
          <w:numId w:val="23"/>
        </w:numPr>
        <w:spacing w:line="276" w:lineRule="auto"/>
        <w:jc w:val="both"/>
        <w:rPr>
          <w:color w:val="000000"/>
        </w:rPr>
      </w:pPr>
      <w:proofErr w:type="spellStart"/>
      <w:r w:rsidRPr="0003607D">
        <w:rPr>
          <w:color w:val="000000"/>
        </w:rPr>
        <w:t>Djetargoto</w:t>
      </w:r>
      <w:proofErr w:type="spellEnd"/>
      <w:r w:rsidRPr="0003607D">
        <w:rPr>
          <w:color w:val="000000"/>
        </w:rPr>
        <w:t xml:space="preserve"> Thomas, décédé </w:t>
      </w:r>
      <w:proofErr w:type="gramStart"/>
      <w:r w:rsidRPr="0003607D">
        <w:rPr>
          <w:color w:val="000000"/>
        </w:rPr>
        <w:t>suite à une</w:t>
      </w:r>
      <w:proofErr w:type="gramEnd"/>
      <w:r w:rsidRPr="0003607D">
        <w:rPr>
          <w:color w:val="000000"/>
        </w:rPr>
        <w:t xml:space="preserve"> déshydratation sévère.</w:t>
      </w:r>
    </w:p>
    <w:p w14:paraId="76F08E53" w14:textId="058642C6" w:rsidR="009D30FC" w:rsidRDefault="00484D0D" w:rsidP="00484D0D">
      <w:pPr>
        <w:pStyle w:val="NormalWeb"/>
        <w:spacing w:after="0" w:afterAutospacing="0" w:line="276" w:lineRule="auto"/>
        <w:jc w:val="both"/>
        <w:rPr>
          <w:color w:val="000000"/>
        </w:rPr>
      </w:pPr>
      <w:r w:rsidRPr="0003607D">
        <w:rPr>
          <w:color w:val="000000"/>
        </w:rPr>
        <w:t xml:space="preserve">Le Procureur a précisé que toutes les autopsies ont été menées en présence du chef de communauté des détenus, et qu’un quatrième détenu, </w:t>
      </w:r>
      <w:proofErr w:type="spellStart"/>
      <w:r w:rsidRPr="0003607D">
        <w:rPr>
          <w:color w:val="000000"/>
        </w:rPr>
        <w:t>Djelassem</w:t>
      </w:r>
      <w:proofErr w:type="spellEnd"/>
      <w:r w:rsidRPr="0003607D">
        <w:rPr>
          <w:color w:val="000000"/>
        </w:rPr>
        <w:t xml:space="preserve"> </w:t>
      </w:r>
      <w:proofErr w:type="spellStart"/>
      <w:r w:rsidRPr="0003607D">
        <w:rPr>
          <w:color w:val="000000"/>
        </w:rPr>
        <w:t>Kaoss</w:t>
      </w:r>
      <w:proofErr w:type="spellEnd"/>
      <w:r w:rsidRPr="0003607D">
        <w:rPr>
          <w:color w:val="000000"/>
        </w:rPr>
        <w:t xml:space="preserve">, est également décédé le 26 mai 2025 à l’hôpital, </w:t>
      </w:r>
      <w:r>
        <w:rPr>
          <w:color w:val="000000"/>
        </w:rPr>
        <w:t>selon une cause</w:t>
      </w:r>
      <w:r w:rsidRPr="0003607D">
        <w:rPr>
          <w:color w:val="000000"/>
        </w:rPr>
        <w:t xml:space="preserve"> naturelle, selon le certificat médical.</w:t>
      </w:r>
      <w:r>
        <w:rPr>
          <w:color w:val="000000"/>
        </w:rPr>
        <w:t xml:space="preserve"> Des soupçons de mauvais traitements ayant causé les décès sont cependant mis en avant. </w:t>
      </w:r>
    </w:p>
    <w:p w14:paraId="16B8F008" w14:textId="77777777" w:rsidR="00DD1C60" w:rsidRDefault="00DD1C60" w:rsidP="00484D0D">
      <w:pPr>
        <w:pStyle w:val="NormalWeb"/>
        <w:spacing w:after="0" w:afterAutospacing="0" w:line="276" w:lineRule="auto"/>
        <w:jc w:val="both"/>
        <w:rPr>
          <w:color w:val="000000"/>
        </w:rPr>
      </w:pPr>
    </w:p>
    <w:tbl>
      <w:tblPr>
        <w:tblStyle w:val="TableGrid"/>
        <w:tblW w:w="0" w:type="auto"/>
        <w:tblLook w:val="04A0" w:firstRow="1" w:lastRow="0" w:firstColumn="1" w:lastColumn="0" w:noHBand="0" w:noVBand="1"/>
      </w:tblPr>
      <w:tblGrid>
        <w:gridCol w:w="9062"/>
      </w:tblGrid>
      <w:tr w:rsidR="00DD1C60" w14:paraId="4A37F083" w14:textId="77777777" w:rsidTr="00DD1C60">
        <w:tc>
          <w:tcPr>
            <w:tcW w:w="9062" w:type="dxa"/>
          </w:tcPr>
          <w:p w14:paraId="5BA5D218" w14:textId="77777777" w:rsidR="00DD1C60" w:rsidRDefault="00DD1C60" w:rsidP="00DD1C60">
            <w:pPr>
              <w:pStyle w:val="NormalWeb"/>
              <w:spacing w:after="0" w:afterAutospacing="0" w:line="276" w:lineRule="auto"/>
              <w:jc w:val="both"/>
              <w:rPr>
                <w:color w:val="000000"/>
              </w:rPr>
            </w:pPr>
            <w:r>
              <w:rPr>
                <w:color w:val="000000"/>
              </w:rPr>
              <w:lastRenderedPageBreak/>
              <w:t>Recommandations :</w:t>
            </w:r>
          </w:p>
          <w:p w14:paraId="0379D36B" w14:textId="77777777" w:rsidR="00DD1C60" w:rsidRPr="0003607D" w:rsidRDefault="00DD1C60" w:rsidP="00DD1C60">
            <w:pPr>
              <w:pStyle w:val="NormalWeb"/>
              <w:numPr>
                <w:ilvl w:val="1"/>
                <w:numId w:val="3"/>
              </w:numPr>
              <w:spacing w:line="276" w:lineRule="auto"/>
              <w:rPr>
                <w:color w:val="000000"/>
              </w:rPr>
            </w:pPr>
            <w:r w:rsidRPr="0003607D">
              <w:rPr>
                <w:color w:val="000000"/>
              </w:rPr>
              <w:t>Mener des enquêtes approfondies, impartiales et transparentes sur chaque décès en détention.</w:t>
            </w:r>
          </w:p>
          <w:p w14:paraId="73B05B2D" w14:textId="77777777" w:rsidR="00DD1C60" w:rsidRPr="0003607D" w:rsidRDefault="00DD1C60" w:rsidP="00DD1C60">
            <w:pPr>
              <w:pStyle w:val="NormalWeb"/>
              <w:numPr>
                <w:ilvl w:val="1"/>
                <w:numId w:val="3"/>
              </w:numPr>
              <w:spacing w:line="276" w:lineRule="auto"/>
              <w:rPr>
                <w:color w:val="000000"/>
              </w:rPr>
            </w:pPr>
            <w:r w:rsidRPr="0003607D">
              <w:rPr>
                <w:color w:val="000000"/>
              </w:rPr>
              <w:t>Mettre en place des mécanismes pour garantir la responsabilité des fonctionnaires impliqués.</w:t>
            </w:r>
          </w:p>
          <w:p w14:paraId="37CCE347" w14:textId="57055624" w:rsidR="00DD1C60" w:rsidRPr="00DD1C60" w:rsidRDefault="00DD1C60" w:rsidP="00DD1C60">
            <w:pPr>
              <w:pStyle w:val="NormalWeb"/>
              <w:numPr>
                <w:ilvl w:val="1"/>
                <w:numId w:val="3"/>
              </w:numPr>
              <w:spacing w:line="276" w:lineRule="auto"/>
              <w:rPr>
                <w:color w:val="000000"/>
              </w:rPr>
            </w:pPr>
            <w:r w:rsidRPr="0003607D">
              <w:rPr>
                <w:color w:val="000000"/>
              </w:rPr>
              <w:t>Renforcer les inspections périodiques des établissements pénitentiaires.</w:t>
            </w:r>
          </w:p>
        </w:tc>
      </w:tr>
    </w:tbl>
    <w:p w14:paraId="17F4380C" w14:textId="77777777" w:rsidR="004A0067" w:rsidRDefault="004A0067" w:rsidP="004A0067">
      <w:pPr>
        <w:pStyle w:val="NormalWeb"/>
        <w:spacing w:before="0" w:beforeAutospacing="0" w:after="0" w:afterAutospacing="0" w:line="276" w:lineRule="auto"/>
        <w:rPr>
          <w:rStyle w:val="Strong"/>
          <w:rFonts w:eastAsiaTheme="majorEastAsia"/>
          <w:b w:val="0"/>
          <w:bCs w:val="0"/>
          <w:color w:val="000000"/>
        </w:rPr>
      </w:pPr>
    </w:p>
    <w:p w14:paraId="3A6438BA" w14:textId="67998570" w:rsidR="00D23F71" w:rsidRPr="00D23F71" w:rsidRDefault="004A0067" w:rsidP="00A013EE">
      <w:pPr>
        <w:pStyle w:val="NormalWeb"/>
        <w:numPr>
          <w:ilvl w:val="0"/>
          <w:numId w:val="15"/>
        </w:numPr>
        <w:spacing w:before="0" w:beforeAutospacing="0" w:after="0" w:afterAutospacing="0" w:line="276" w:lineRule="auto"/>
        <w:rPr>
          <w:rStyle w:val="Strong"/>
          <w:rFonts w:eastAsiaTheme="majorEastAsia"/>
          <w:b w:val="0"/>
          <w:bCs w:val="0"/>
          <w:color w:val="000000"/>
          <w:u w:val="single"/>
        </w:rPr>
      </w:pPr>
      <w:r>
        <w:rPr>
          <w:rStyle w:val="Strong"/>
          <w:rFonts w:eastAsiaTheme="majorEastAsia"/>
          <w:color w:val="000000"/>
          <w:u w:val="single"/>
        </w:rPr>
        <w:t>Indépendance du pouvoir judiciaire et accès à la justice</w:t>
      </w:r>
      <w:r w:rsidR="00D23F71">
        <w:rPr>
          <w:rStyle w:val="Strong"/>
          <w:rFonts w:eastAsiaTheme="majorEastAsia"/>
          <w:color w:val="000000"/>
          <w:u w:val="single"/>
        </w:rPr>
        <w:t xml:space="preserve"> (article 14)</w:t>
      </w:r>
    </w:p>
    <w:p w14:paraId="214C5B88" w14:textId="77777777" w:rsidR="00D23F71" w:rsidRDefault="00D23F71" w:rsidP="004A0067">
      <w:pPr>
        <w:pStyle w:val="NormalWeb"/>
        <w:spacing w:before="0" w:beforeAutospacing="0" w:after="0" w:afterAutospacing="0" w:line="276" w:lineRule="auto"/>
        <w:rPr>
          <w:rStyle w:val="Strong"/>
          <w:rFonts w:eastAsiaTheme="majorEastAsia"/>
          <w:b w:val="0"/>
          <w:bCs w:val="0"/>
          <w:color w:val="000000"/>
          <w:u w:val="single"/>
        </w:rPr>
      </w:pPr>
    </w:p>
    <w:p w14:paraId="4FE80FB2" w14:textId="332E463E" w:rsidR="004A0067" w:rsidRPr="00A013EE" w:rsidRDefault="004A0067" w:rsidP="004A0067">
      <w:pPr>
        <w:pStyle w:val="NormalWeb"/>
        <w:numPr>
          <w:ilvl w:val="0"/>
          <w:numId w:val="24"/>
        </w:numPr>
        <w:spacing w:before="0" w:beforeAutospacing="0" w:after="0" w:afterAutospacing="0" w:line="276" w:lineRule="auto"/>
        <w:rPr>
          <w:rStyle w:val="Strong"/>
          <w:rFonts w:eastAsiaTheme="majorEastAsia"/>
          <w:color w:val="000000"/>
        </w:rPr>
      </w:pPr>
      <w:r w:rsidRPr="00A013EE">
        <w:rPr>
          <w:rStyle w:val="Strong"/>
          <w:rFonts w:eastAsiaTheme="majorEastAsia"/>
          <w:color w:val="000000"/>
        </w:rPr>
        <w:t>Pressions et ingérence du pouvoir exécutif sur les juges</w:t>
      </w:r>
    </w:p>
    <w:p w14:paraId="67CA32CA" w14:textId="74A7FF45" w:rsidR="00861612" w:rsidRPr="00A013EE" w:rsidRDefault="00861612" w:rsidP="00A013EE">
      <w:pPr>
        <w:spacing w:before="100" w:beforeAutospacing="1" w:after="100" w:afterAutospacing="1"/>
        <w:jc w:val="both"/>
        <w:rPr>
          <w:color w:val="000000" w:themeColor="text1"/>
          <w:lang w:val="fr-FR" w:eastAsia="fr-FR"/>
        </w:rPr>
      </w:pPr>
      <w:r w:rsidRPr="00A013EE">
        <w:rPr>
          <w:color w:val="000000" w:themeColor="text1"/>
          <w:lang w:val="fr-FR" w:eastAsia="fr-FR"/>
        </w:rPr>
        <w:t xml:space="preserve">Des magistrats impliqués dans </w:t>
      </w:r>
      <w:r w:rsidR="000C44D5">
        <w:rPr>
          <w:color w:val="000000" w:themeColor="text1"/>
          <w:lang w:val="fr-FR" w:eastAsia="fr-FR"/>
        </w:rPr>
        <w:t xml:space="preserve">des </w:t>
      </w:r>
      <w:r w:rsidRPr="00A013EE">
        <w:rPr>
          <w:color w:val="000000" w:themeColor="text1"/>
          <w:lang w:val="fr-FR" w:eastAsia="fr-FR"/>
        </w:rPr>
        <w:t xml:space="preserve">dossiers sensibles ont été </w:t>
      </w:r>
      <w:r w:rsidRPr="00A013EE">
        <w:rPr>
          <w:bCs/>
          <w:color w:val="000000" w:themeColor="text1"/>
          <w:lang w:val="fr-FR" w:eastAsia="fr-FR"/>
        </w:rPr>
        <w:t>ciblés par des tentatives d’intimidation</w:t>
      </w:r>
      <w:r w:rsidRPr="00A013EE">
        <w:rPr>
          <w:color w:val="000000" w:themeColor="text1"/>
          <w:lang w:val="fr-FR" w:eastAsia="fr-FR"/>
        </w:rPr>
        <w:t xml:space="preserve">. En particulier, les syndicats ont signalé des </w:t>
      </w:r>
      <w:r w:rsidRPr="00A013EE">
        <w:rPr>
          <w:bCs/>
          <w:color w:val="000000" w:themeColor="text1"/>
          <w:lang w:val="fr-FR" w:eastAsia="fr-FR"/>
        </w:rPr>
        <w:t>menaces directes contre le juge</w:t>
      </w:r>
      <w:r w:rsidRPr="00A013EE">
        <w:rPr>
          <w:b/>
          <w:bCs/>
          <w:color w:val="000000" w:themeColor="text1"/>
          <w:lang w:val="fr-FR" w:eastAsia="fr-FR"/>
        </w:rPr>
        <w:t xml:space="preserve"> </w:t>
      </w:r>
      <w:proofErr w:type="spellStart"/>
      <w:r w:rsidRPr="00A013EE">
        <w:rPr>
          <w:b/>
          <w:bCs/>
          <w:color w:val="000000" w:themeColor="text1"/>
          <w:lang w:val="fr-FR" w:eastAsia="fr-FR"/>
        </w:rPr>
        <w:t>Djouma</w:t>
      </w:r>
      <w:proofErr w:type="spellEnd"/>
      <w:r w:rsidRPr="00A013EE">
        <w:rPr>
          <w:b/>
          <w:bCs/>
          <w:color w:val="000000" w:themeColor="text1"/>
          <w:lang w:val="fr-FR" w:eastAsia="fr-FR"/>
        </w:rPr>
        <w:t xml:space="preserve"> </w:t>
      </w:r>
      <w:proofErr w:type="spellStart"/>
      <w:r w:rsidRPr="00A013EE">
        <w:rPr>
          <w:b/>
          <w:bCs/>
          <w:color w:val="000000" w:themeColor="text1"/>
          <w:lang w:val="fr-FR" w:eastAsia="fr-FR"/>
        </w:rPr>
        <w:t>Mahamadène</w:t>
      </w:r>
      <w:proofErr w:type="spellEnd"/>
      <w:r w:rsidRPr="00A013EE">
        <w:rPr>
          <w:b/>
          <w:bCs/>
          <w:color w:val="000000" w:themeColor="text1"/>
          <w:lang w:val="fr-FR" w:eastAsia="fr-FR"/>
        </w:rPr>
        <w:t xml:space="preserve"> Ali Obey</w:t>
      </w:r>
      <w:r w:rsidRPr="00A013EE">
        <w:rPr>
          <w:color w:val="000000" w:themeColor="text1"/>
          <w:lang w:val="fr-FR" w:eastAsia="fr-FR"/>
        </w:rPr>
        <w:t xml:space="preserve">, chargé de dossiers sensibles incluant des affaires de terrorisme, ce qui constitue une atteinte grave à la sécurité et à l’indépendance des acteurs judiciaires. </w:t>
      </w:r>
    </w:p>
    <w:p w14:paraId="530B6E63" w14:textId="77777777" w:rsidR="00861612" w:rsidRPr="00A013EE" w:rsidRDefault="00861612" w:rsidP="00A013EE">
      <w:pPr>
        <w:spacing w:before="100" w:beforeAutospacing="1" w:after="100" w:afterAutospacing="1"/>
        <w:jc w:val="both"/>
        <w:rPr>
          <w:color w:val="000000" w:themeColor="text1"/>
          <w:lang w:val="fr-FR" w:eastAsia="fr-FR"/>
        </w:rPr>
      </w:pPr>
      <w:r w:rsidRPr="00A013EE">
        <w:rPr>
          <w:color w:val="000000" w:themeColor="text1"/>
          <w:lang w:val="fr-FR" w:eastAsia="fr-FR"/>
        </w:rPr>
        <w:t xml:space="preserve">Par ailleurs, les magistrats ont à plusieurs reprises exprimé leur </w:t>
      </w:r>
      <w:r w:rsidRPr="00A013EE">
        <w:rPr>
          <w:bCs/>
          <w:color w:val="000000" w:themeColor="text1"/>
          <w:lang w:val="fr-FR" w:eastAsia="fr-FR"/>
        </w:rPr>
        <w:t>sentiment d’insécurité au travail</w:t>
      </w:r>
      <w:r w:rsidRPr="00A013EE">
        <w:rPr>
          <w:color w:val="000000" w:themeColor="text1"/>
          <w:lang w:val="fr-FR" w:eastAsia="fr-FR"/>
        </w:rPr>
        <w:t>, notamment lors de protestations et grèves, motivées par des conditions de travail jugées dangereuses en l’absence de protection adéquate dans les juridictions. Ces tensions ont parfois conduit les magistrats à des mouvements de grève pour dénoncer l’indifférence des autorités quant à leurs revendications de sécurité et de garanties professionnelles.</w:t>
      </w:r>
    </w:p>
    <w:p w14:paraId="2E69ADC9" w14:textId="690C970A" w:rsidR="005221F8" w:rsidRDefault="005221F8" w:rsidP="004A0067">
      <w:pPr>
        <w:pStyle w:val="NormalWeb"/>
        <w:spacing w:before="0" w:beforeAutospacing="0" w:after="0" w:afterAutospacing="0" w:line="276" w:lineRule="auto"/>
        <w:rPr>
          <w:color w:val="FF0000"/>
        </w:rPr>
      </w:pPr>
    </w:p>
    <w:tbl>
      <w:tblPr>
        <w:tblStyle w:val="TableGrid"/>
        <w:tblW w:w="0" w:type="auto"/>
        <w:tblLook w:val="04A0" w:firstRow="1" w:lastRow="0" w:firstColumn="1" w:lastColumn="0" w:noHBand="0" w:noVBand="1"/>
      </w:tblPr>
      <w:tblGrid>
        <w:gridCol w:w="9062"/>
      </w:tblGrid>
      <w:tr w:rsidR="005221F8" w14:paraId="3F7561B7" w14:textId="77777777" w:rsidTr="005221F8">
        <w:tc>
          <w:tcPr>
            <w:tcW w:w="9062" w:type="dxa"/>
          </w:tcPr>
          <w:p w14:paraId="12161358" w14:textId="77777777" w:rsidR="005221F8" w:rsidRPr="00C94CDD" w:rsidRDefault="005221F8" w:rsidP="005221F8">
            <w:pPr>
              <w:pStyle w:val="NormalWeb"/>
              <w:spacing w:before="0" w:beforeAutospacing="0" w:after="0" w:afterAutospacing="0" w:line="276" w:lineRule="auto"/>
              <w:rPr>
                <w:color w:val="000000" w:themeColor="text1"/>
              </w:rPr>
            </w:pPr>
            <w:r w:rsidRPr="00C94CDD">
              <w:rPr>
                <w:color w:val="000000" w:themeColor="text1"/>
              </w:rPr>
              <w:t>Recommandations :</w:t>
            </w:r>
          </w:p>
          <w:p w14:paraId="5561A77C" w14:textId="77777777" w:rsidR="00EE0075" w:rsidRPr="00C94CDD" w:rsidRDefault="00EE0075" w:rsidP="005221F8">
            <w:pPr>
              <w:pStyle w:val="NormalWeb"/>
              <w:spacing w:before="0" w:beforeAutospacing="0" w:after="0" w:afterAutospacing="0" w:line="276" w:lineRule="auto"/>
              <w:rPr>
                <w:color w:val="000000" w:themeColor="text1"/>
              </w:rPr>
            </w:pPr>
          </w:p>
          <w:p w14:paraId="49E3B3CB" w14:textId="166AD0C7" w:rsidR="005221F8" w:rsidRDefault="00406031" w:rsidP="00A013EE">
            <w:pPr>
              <w:pStyle w:val="NormalWeb"/>
              <w:numPr>
                <w:ilvl w:val="0"/>
                <w:numId w:val="39"/>
              </w:numPr>
              <w:spacing w:before="0" w:beforeAutospacing="0" w:after="0" w:afterAutospacing="0" w:line="276" w:lineRule="auto"/>
              <w:jc w:val="both"/>
              <w:rPr>
                <w:color w:val="FF0000"/>
              </w:rPr>
            </w:pPr>
            <w:r w:rsidRPr="00C94CDD">
              <w:rPr>
                <w:color w:val="000000" w:themeColor="text1"/>
              </w:rPr>
              <w:t>Assurer la protection effective des magistrats contre toute forme de menace, d’intimidation ou de pression</w:t>
            </w:r>
            <w:r w:rsidR="00656BDF" w:rsidRPr="00C94CDD">
              <w:rPr>
                <w:color w:val="000000" w:themeColor="text1"/>
              </w:rPr>
              <w:t xml:space="preserve"> </w:t>
            </w:r>
            <w:r>
              <w:t>et s’abstenir de toute ingérence de l’exécutif dans la carrière des magistrats, notamment par des suspensions disciplinaires décidées en dehors de procédures indépendantes, impartiales et conformes aux normes internationales relatives à l’indépendance de la justice.</w:t>
            </w:r>
          </w:p>
        </w:tc>
      </w:tr>
    </w:tbl>
    <w:p w14:paraId="3601C77D" w14:textId="77777777" w:rsidR="005221F8" w:rsidRPr="00861612" w:rsidRDefault="005221F8" w:rsidP="004A0067">
      <w:pPr>
        <w:pStyle w:val="NormalWeb"/>
        <w:spacing w:before="0" w:beforeAutospacing="0" w:after="0" w:afterAutospacing="0" w:line="276" w:lineRule="auto"/>
        <w:rPr>
          <w:color w:val="FF0000"/>
        </w:rPr>
      </w:pPr>
    </w:p>
    <w:p w14:paraId="51FD76D8" w14:textId="77777777" w:rsidR="00861612" w:rsidRPr="004A0067" w:rsidRDefault="00861612" w:rsidP="004A0067">
      <w:pPr>
        <w:pStyle w:val="NormalWeb"/>
        <w:spacing w:before="0" w:beforeAutospacing="0" w:after="0" w:afterAutospacing="0" w:line="276" w:lineRule="auto"/>
        <w:rPr>
          <w:rStyle w:val="Strong"/>
          <w:rFonts w:eastAsiaTheme="majorEastAsia"/>
          <w:b w:val="0"/>
          <w:bCs w:val="0"/>
          <w:color w:val="000000"/>
        </w:rPr>
      </w:pPr>
    </w:p>
    <w:p w14:paraId="63846F6F" w14:textId="6DF2A011" w:rsidR="00516A9E" w:rsidRDefault="00516A9E" w:rsidP="00A013EE">
      <w:pPr>
        <w:pStyle w:val="NormalWeb"/>
        <w:numPr>
          <w:ilvl w:val="0"/>
          <w:numId w:val="15"/>
        </w:numPr>
        <w:spacing w:before="0" w:beforeAutospacing="0" w:after="0" w:afterAutospacing="0" w:line="276" w:lineRule="auto"/>
        <w:rPr>
          <w:rStyle w:val="Strong"/>
          <w:rFonts w:eastAsiaTheme="majorEastAsia"/>
          <w:color w:val="000000"/>
          <w:u w:val="single"/>
        </w:rPr>
      </w:pPr>
      <w:r w:rsidRPr="00516A9E">
        <w:rPr>
          <w:rStyle w:val="Strong"/>
          <w:rFonts w:eastAsiaTheme="majorEastAsia"/>
          <w:color w:val="000000"/>
          <w:u w:val="single"/>
        </w:rPr>
        <w:t>Liberté</w:t>
      </w:r>
      <w:r>
        <w:rPr>
          <w:rStyle w:val="Strong"/>
          <w:rFonts w:eastAsiaTheme="majorEastAsia"/>
          <w:color w:val="000000"/>
          <w:u w:val="single"/>
        </w:rPr>
        <w:t>s</w:t>
      </w:r>
      <w:r w:rsidRPr="00516A9E">
        <w:rPr>
          <w:rStyle w:val="Strong"/>
          <w:rFonts w:eastAsiaTheme="majorEastAsia"/>
          <w:color w:val="000000"/>
          <w:u w:val="single"/>
        </w:rPr>
        <w:t xml:space="preserve"> d’expression et de réunion pacifique (articles 19 et 21)</w:t>
      </w:r>
    </w:p>
    <w:p w14:paraId="0F76F607" w14:textId="77777777" w:rsidR="00516A9E" w:rsidRDefault="00516A9E" w:rsidP="00516A9E">
      <w:pPr>
        <w:pStyle w:val="NormalWeb"/>
        <w:spacing w:before="0" w:beforeAutospacing="0" w:after="0" w:afterAutospacing="0" w:line="276" w:lineRule="auto"/>
        <w:rPr>
          <w:rStyle w:val="Strong"/>
          <w:rFonts w:eastAsiaTheme="majorEastAsia"/>
          <w:color w:val="000000"/>
          <w:u w:val="single"/>
        </w:rPr>
      </w:pPr>
    </w:p>
    <w:p w14:paraId="7B499AB8" w14:textId="6A156643" w:rsidR="00516A9E" w:rsidRPr="00B05058" w:rsidRDefault="00B05058" w:rsidP="00B05058">
      <w:pPr>
        <w:pStyle w:val="NormalWeb"/>
        <w:spacing w:before="0" w:beforeAutospacing="0" w:after="0" w:afterAutospacing="0" w:line="276" w:lineRule="auto"/>
        <w:jc w:val="both"/>
        <w:rPr>
          <w:rStyle w:val="Strong"/>
          <w:b w:val="0"/>
          <w:bCs w:val="0"/>
        </w:rPr>
      </w:pPr>
      <w:r>
        <w:t xml:space="preserve">Le droit à la liberté de réunion pacifique a été sérieusement remis en cause à plusieurs reprises en 2022, notamment par le biais d’arrestations arbitraires faisant suite à la participation à des manifestations et l’assassinat de </w:t>
      </w:r>
      <w:proofErr w:type="spellStart"/>
      <w:r>
        <w:t>nombreux·ses</w:t>
      </w:r>
      <w:proofErr w:type="spellEnd"/>
      <w:r>
        <w:t xml:space="preserve"> </w:t>
      </w:r>
      <w:proofErr w:type="spellStart"/>
      <w:r>
        <w:t>manifestant·es</w:t>
      </w:r>
      <w:proofErr w:type="spellEnd"/>
      <w:r>
        <w:t xml:space="preserve"> lors d’une manifestation le 20 octobre 2022.</w:t>
      </w:r>
    </w:p>
    <w:p w14:paraId="34A1369F" w14:textId="476EFC02" w:rsidR="00B05058" w:rsidRDefault="00B05058" w:rsidP="00D03A1B">
      <w:pPr>
        <w:pStyle w:val="NormalWeb"/>
        <w:spacing w:line="276" w:lineRule="auto"/>
        <w:jc w:val="both"/>
      </w:pPr>
      <w:r>
        <w:t xml:space="preserve">En outre, la criminalisation systématique de la société civile défendant les droits humains s’est poursuivie sous Mahamat Idriss </w:t>
      </w:r>
      <w:proofErr w:type="spellStart"/>
      <w:r>
        <w:t>Déby</w:t>
      </w:r>
      <w:proofErr w:type="spellEnd"/>
      <w:r>
        <w:t xml:space="preserve">, depuis son avènement à la tête du pays à la suite du coup d’État du 21 avril 2021. Le régime militaire a multiplié les actes de harcèlement judiciaire à l’encontre de </w:t>
      </w:r>
      <w:proofErr w:type="spellStart"/>
      <w:r>
        <w:t>dirigeant·es</w:t>
      </w:r>
      <w:proofErr w:type="spellEnd"/>
      <w:r>
        <w:t xml:space="preserve"> d’ONG de défense des droits humains, ainsi que les menaces portées </w:t>
      </w:r>
      <w:r>
        <w:lastRenderedPageBreak/>
        <w:t xml:space="preserve">à l’intégrité des </w:t>
      </w:r>
      <w:proofErr w:type="spellStart"/>
      <w:r>
        <w:t>défenseur·es</w:t>
      </w:r>
      <w:proofErr w:type="spellEnd"/>
      <w:r>
        <w:t xml:space="preserve"> des droits humains et la surveillance non dissimulée de ces ONG. Les </w:t>
      </w:r>
      <w:proofErr w:type="spellStart"/>
      <w:r>
        <w:t>défenseur·es</w:t>
      </w:r>
      <w:proofErr w:type="spellEnd"/>
      <w:r>
        <w:t xml:space="preserve"> des droits humains </w:t>
      </w:r>
      <w:proofErr w:type="spellStart"/>
      <w:r>
        <w:t>tchadien·es</w:t>
      </w:r>
      <w:proofErr w:type="spellEnd"/>
      <w:r>
        <w:t xml:space="preserve"> subissent les effets d’une culture de l’impunité et de l’absence d’un État de droit qui prévaut dans l’ensemble du pays.</w:t>
      </w:r>
      <w:r>
        <w:rPr>
          <w:rStyle w:val="FootnoteReference"/>
          <w:rFonts w:eastAsiaTheme="majorEastAsia"/>
          <w:color w:val="000000"/>
        </w:rPr>
        <w:footnoteReference w:id="27"/>
      </w:r>
    </w:p>
    <w:p w14:paraId="3993E5E9" w14:textId="1C440E96" w:rsidR="00D03A1B" w:rsidRPr="0003607D" w:rsidRDefault="00B05058" w:rsidP="00D03A1B">
      <w:pPr>
        <w:pStyle w:val="NormalWeb"/>
        <w:spacing w:line="276" w:lineRule="auto"/>
        <w:jc w:val="both"/>
        <w:rPr>
          <w:rStyle w:val="apple-converted-space"/>
          <w:rFonts w:eastAsiaTheme="majorEastAsia"/>
          <w:color w:val="000000"/>
        </w:rPr>
      </w:pPr>
      <w:r>
        <w:rPr>
          <w:rStyle w:val="apple-converted-space"/>
          <w:rFonts w:eastAsiaTheme="majorEastAsia"/>
          <w:color w:val="000000"/>
        </w:rPr>
        <w:t>Les</w:t>
      </w:r>
      <w:r w:rsidR="00D03A1B" w:rsidRPr="0003607D">
        <w:rPr>
          <w:rStyle w:val="apple-converted-space"/>
          <w:rFonts w:eastAsiaTheme="majorEastAsia"/>
          <w:color w:val="000000"/>
        </w:rPr>
        <w:t xml:space="preserve"> menaces </w:t>
      </w:r>
      <w:r>
        <w:rPr>
          <w:rStyle w:val="apple-converted-space"/>
          <w:rFonts w:eastAsiaTheme="majorEastAsia"/>
          <w:color w:val="000000"/>
        </w:rPr>
        <w:t xml:space="preserve">et représailles </w:t>
      </w:r>
      <w:r w:rsidR="00D03A1B" w:rsidRPr="0003607D">
        <w:rPr>
          <w:rStyle w:val="apple-converted-space"/>
          <w:rFonts w:eastAsiaTheme="majorEastAsia"/>
          <w:color w:val="000000"/>
        </w:rPr>
        <w:t>sur certains hommes politiques, des journalistes et des défenseurs des droits humains </w:t>
      </w:r>
      <w:r w:rsidR="00D03A1B">
        <w:rPr>
          <w:rStyle w:val="apple-converted-space"/>
          <w:rFonts w:eastAsiaTheme="majorEastAsia"/>
          <w:color w:val="000000"/>
        </w:rPr>
        <w:t xml:space="preserve">ont été répertoriées </w:t>
      </w:r>
      <w:r>
        <w:rPr>
          <w:rStyle w:val="apple-converted-space"/>
          <w:rFonts w:eastAsiaTheme="majorEastAsia"/>
          <w:color w:val="000000"/>
        </w:rPr>
        <w:t xml:space="preserve">ces dernières années </w:t>
      </w:r>
      <w:r w:rsidR="00D03A1B" w:rsidRPr="0003607D">
        <w:rPr>
          <w:rStyle w:val="apple-converted-space"/>
          <w:rFonts w:eastAsiaTheme="majorEastAsia"/>
          <w:color w:val="000000"/>
        </w:rPr>
        <w:t xml:space="preserve">: </w:t>
      </w:r>
    </w:p>
    <w:p w14:paraId="3FF138E6" w14:textId="77777777" w:rsidR="00B05058" w:rsidRPr="00B05058" w:rsidRDefault="00B05058" w:rsidP="00D03A1B">
      <w:pPr>
        <w:pStyle w:val="NormalWeb"/>
        <w:numPr>
          <w:ilvl w:val="0"/>
          <w:numId w:val="21"/>
        </w:numPr>
        <w:spacing w:line="276" w:lineRule="auto"/>
        <w:jc w:val="both"/>
        <w:rPr>
          <w:rFonts w:eastAsiaTheme="majorEastAsia"/>
          <w:color w:val="000000"/>
        </w:rPr>
      </w:pPr>
      <w:r>
        <w:t xml:space="preserve">Le 11 avril 2022, </w:t>
      </w:r>
      <w:proofErr w:type="spellStart"/>
      <w:r w:rsidRPr="00B05058">
        <w:rPr>
          <w:b/>
          <w:bCs/>
        </w:rPr>
        <w:t>Baldal</w:t>
      </w:r>
      <w:proofErr w:type="spellEnd"/>
      <w:r w:rsidRPr="00B05058">
        <w:rPr>
          <w:b/>
          <w:bCs/>
        </w:rPr>
        <w:t xml:space="preserve"> </w:t>
      </w:r>
      <w:proofErr w:type="spellStart"/>
      <w:r w:rsidRPr="00B05058">
        <w:rPr>
          <w:b/>
          <w:bCs/>
        </w:rPr>
        <w:t>Oyamta</w:t>
      </w:r>
      <w:proofErr w:type="spellEnd"/>
      <w:r w:rsidRPr="00B05058">
        <w:rPr>
          <w:b/>
          <w:bCs/>
        </w:rPr>
        <w:t>, coordinateur national de la LTDH</w:t>
      </w:r>
      <w:r>
        <w:t xml:space="preserve">, a échappé à une tentative d’assassinat. A 3h du matin, un individu inconnu, armé d’un pistolet et d’une arme blanche, a pénétré son domicile à N’Djamena, et a tiré à bout portant au niveau du visage de celui-ci. Blessé au front, mais sans plaie grave au niveau du crâne, </w:t>
      </w:r>
      <w:proofErr w:type="spellStart"/>
      <w:r>
        <w:t>Baldal</w:t>
      </w:r>
      <w:proofErr w:type="spellEnd"/>
      <w:r>
        <w:t xml:space="preserve"> </w:t>
      </w:r>
      <w:proofErr w:type="spellStart"/>
      <w:r>
        <w:t>Oyamta</w:t>
      </w:r>
      <w:proofErr w:type="spellEnd"/>
      <w:r>
        <w:t xml:space="preserve"> a été pris en charge au niveau médical. L’auteur du coup de feu, un ancien militaire, a pris la fuite mais a été retrouvé le lendemain par des jeunes du quartier qui l’ont remis à la police. Il a été placé sous mandat de dépôt à la prison de </w:t>
      </w:r>
      <w:proofErr w:type="spellStart"/>
      <w:r>
        <w:t>Klessoum</w:t>
      </w:r>
      <w:proofErr w:type="spellEnd"/>
      <w:r>
        <w:t xml:space="preserve"> en attendant l’instruction de son dossier. </w:t>
      </w:r>
      <w:proofErr w:type="spellStart"/>
      <w:r>
        <w:t>Baldal</w:t>
      </w:r>
      <w:proofErr w:type="spellEnd"/>
      <w:r>
        <w:t xml:space="preserve"> </w:t>
      </w:r>
      <w:proofErr w:type="spellStart"/>
      <w:r>
        <w:t>Oyamta</w:t>
      </w:r>
      <w:proofErr w:type="spellEnd"/>
      <w:r>
        <w:t xml:space="preserve"> a déjà été l’objet de menaces de mort par le passé. En novembre 2020, en l’espace de deux semaines, il avait reçu 23 SMS de menaces liés à ses activités professionnelles en tant que défenseur des droits humains, et plus particulièrement à ses travaux sur l’accaparement des terres au Tchad. Malgré un dépôt de plainte contre X, aucune enquête n’a été ouverte sur ces menaces. </w:t>
      </w:r>
    </w:p>
    <w:p w14:paraId="15FB5E43" w14:textId="03961147" w:rsidR="00B05058" w:rsidRDefault="00B05058" w:rsidP="00D03A1B">
      <w:pPr>
        <w:pStyle w:val="NormalWeb"/>
        <w:numPr>
          <w:ilvl w:val="0"/>
          <w:numId w:val="21"/>
        </w:numPr>
        <w:spacing w:line="276" w:lineRule="auto"/>
        <w:jc w:val="both"/>
        <w:rPr>
          <w:rStyle w:val="apple-converted-space"/>
          <w:rFonts w:eastAsiaTheme="majorEastAsia"/>
          <w:color w:val="000000"/>
        </w:rPr>
      </w:pPr>
      <w:r>
        <w:t xml:space="preserve">Le 26 avril 2021, la </w:t>
      </w:r>
      <w:r w:rsidRPr="00A013EE">
        <w:rPr>
          <w:b/>
          <w:bCs/>
        </w:rPr>
        <w:t>LTDH</w:t>
      </w:r>
      <w:r>
        <w:t xml:space="preserve"> a fait l’objet de harcèlement à la suite de la passation inconstitutionnelle du pouvoir subséquente au décès du Président tchadien Idriss </w:t>
      </w:r>
      <w:proofErr w:type="spellStart"/>
      <w:r>
        <w:t>Déby</w:t>
      </w:r>
      <w:proofErr w:type="spellEnd"/>
      <w:r>
        <w:t xml:space="preserve"> </w:t>
      </w:r>
      <w:proofErr w:type="spellStart"/>
      <w:r>
        <w:t>Itno</w:t>
      </w:r>
      <w:proofErr w:type="spellEnd"/>
      <w:r>
        <w:t>, le 20 avril 2021. Huit véhicules de police avaient encerclé ses bureaux. La LTDH faisait l’objet d’une surveillance accrue de la part des autorités tchadiennes, et ses membres ont vu leur accès aux locaux de l’ONG limité en raison de la présence quotidienne de policiers dès 6h du matin.</w:t>
      </w:r>
    </w:p>
    <w:p w14:paraId="79E7E080" w14:textId="79F06263" w:rsidR="00D03A1B" w:rsidRPr="0003607D" w:rsidRDefault="00D03A1B" w:rsidP="00D03A1B">
      <w:pPr>
        <w:pStyle w:val="NormalWeb"/>
        <w:numPr>
          <w:ilvl w:val="0"/>
          <w:numId w:val="21"/>
        </w:numPr>
        <w:spacing w:line="276" w:lineRule="auto"/>
        <w:jc w:val="both"/>
        <w:rPr>
          <w:rStyle w:val="apple-converted-space"/>
          <w:rFonts w:eastAsiaTheme="majorEastAsia"/>
          <w:color w:val="000000"/>
        </w:rPr>
      </w:pPr>
      <w:r>
        <w:rPr>
          <w:rStyle w:val="apple-converted-space"/>
          <w:rFonts w:eastAsiaTheme="majorEastAsia"/>
          <w:color w:val="000000"/>
        </w:rPr>
        <w:t>Au mois de mai 2025, m</w:t>
      </w:r>
      <w:r w:rsidRPr="0003607D">
        <w:rPr>
          <w:rStyle w:val="apple-converted-space"/>
          <w:rFonts w:eastAsiaTheme="majorEastAsia"/>
          <w:color w:val="000000"/>
        </w:rPr>
        <w:t xml:space="preserve">enaces de mort sur </w:t>
      </w:r>
      <w:r w:rsidRPr="00A013EE">
        <w:rPr>
          <w:rStyle w:val="apple-converted-space"/>
          <w:rFonts w:eastAsiaTheme="majorEastAsia"/>
          <w:b/>
          <w:bCs/>
          <w:color w:val="000000"/>
        </w:rPr>
        <w:t xml:space="preserve">M. Max </w:t>
      </w:r>
      <w:proofErr w:type="spellStart"/>
      <w:r w:rsidRPr="00A013EE">
        <w:rPr>
          <w:rStyle w:val="apple-converted-space"/>
          <w:rFonts w:eastAsiaTheme="majorEastAsia"/>
          <w:b/>
          <w:bCs/>
          <w:color w:val="000000"/>
        </w:rPr>
        <w:t>Kemkoye</w:t>
      </w:r>
      <w:proofErr w:type="spellEnd"/>
      <w:r w:rsidRPr="0003607D">
        <w:rPr>
          <w:rStyle w:val="apple-converted-space"/>
          <w:rFonts w:eastAsiaTheme="majorEastAsia"/>
          <w:color w:val="000000"/>
        </w:rPr>
        <w:t>, président de l’Union des Démocrates pour le Développement et le Progrès (UDP)</w:t>
      </w:r>
      <w:r>
        <w:rPr>
          <w:rStyle w:val="apple-converted-space"/>
          <w:rFonts w:eastAsiaTheme="majorEastAsia"/>
          <w:color w:val="000000"/>
        </w:rPr>
        <w:t xml:space="preserve">, opposant critique à l’égard du président Idriss Deby </w:t>
      </w:r>
      <w:proofErr w:type="spellStart"/>
      <w:r>
        <w:rPr>
          <w:rStyle w:val="apple-converted-space"/>
          <w:rFonts w:eastAsiaTheme="majorEastAsia"/>
          <w:color w:val="000000"/>
        </w:rPr>
        <w:t>Itno</w:t>
      </w:r>
      <w:proofErr w:type="spellEnd"/>
      <w:r>
        <w:rPr>
          <w:rStyle w:val="apple-converted-space"/>
          <w:rFonts w:eastAsiaTheme="majorEastAsia"/>
          <w:color w:val="000000"/>
        </w:rPr>
        <w:t>,</w:t>
      </w:r>
      <w:r w:rsidRPr="0003607D">
        <w:rPr>
          <w:rStyle w:val="apple-converted-space"/>
          <w:rFonts w:eastAsiaTheme="majorEastAsia"/>
          <w:color w:val="000000"/>
        </w:rPr>
        <w:t xml:space="preserve"> et sur le Professeur </w:t>
      </w:r>
      <w:proofErr w:type="spellStart"/>
      <w:r w:rsidRPr="0003607D">
        <w:rPr>
          <w:rStyle w:val="apple-converted-space"/>
          <w:rFonts w:eastAsiaTheme="majorEastAsia"/>
          <w:color w:val="000000"/>
        </w:rPr>
        <w:t>Avocksouma</w:t>
      </w:r>
      <w:proofErr w:type="spellEnd"/>
      <w:r w:rsidRPr="0003607D">
        <w:rPr>
          <w:rStyle w:val="apple-converted-space"/>
          <w:rFonts w:eastAsiaTheme="majorEastAsia"/>
          <w:color w:val="000000"/>
        </w:rPr>
        <w:t xml:space="preserve"> </w:t>
      </w:r>
      <w:proofErr w:type="spellStart"/>
      <w:r w:rsidRPr="0003607D">
        <w:rPr>
          <w:rStyle w:val="apple-converted-space"/>
          <w:rFonts w:eastAsiaTheme="majorEastAsia"/>
          <w:color w:val="000000"/>
        </w:rPr>
        <w:t>Djona</w:t>
      </w:r>
      <w:proofErr w:type="spellEnd"/>
      <w:r w:rsidRPr="0003607D">
        <w:rPr>
          <w:rStyle w:val="apple-converted-space"/>
          <w:rFonts w:eastAsiaTheme="majorEastAsia"/>
          <w:color w:val="000000"/>
        </w:rPr>
        <w:t>, président du parti les Démocrates ;</w:t>
      </w:r>
    </w:p>
    <w:p w14:paraId="4F9C8BEE" w14:textId="59FCFB2E" w:rsidR="00D03A1B" w:rsidRPr="0003607D" w:rsidRDefault="00D03A1B" w:rsidP="00D03A1B">
      <w:pPr>
        <w:pStyle w:val="NormalWeb"/>
        <w:numPr>
          <w:ilvl w:val="0"/>
          <w:numId w:val="21"/>
        </w:numPr>
        <w:spacing w:line="276" w:lineRule="auto"/>
        <w:jc w:val="both"/>
        <w:rPr>
          <w:rStyle w:val="apple-converted-space"/>
          <w:rFonts w:eastAsiaTheme="majorEastAsia"/>
          <w:color w:val="000000"/>
        </w:rPr>
      </w:pPr>
      <w:r w:rsidRPr="0003607D">
        <w:rPr>
          <w:rStyle w:val="apple-converted-space"/>
          <w:rFonts w:eastAsiaTheme="majorEastAsia"/>
          <w:color w:val="000000"/>
        </w:rPr>
        <w:t>Le Procureur de la R</w:t>
      </w:r>
      <w:r>
        <w:rPr>
          <w:rStyle w:val="apple-converted-space"/>
          <w:rFonts w:eastAsiaTheme="majorEastAsia"/>
          <w:color w:val="000000"/>
        </w:rPr>
        <w:t>é</w:t>
      </w:r>
      <w:r w:rsidRPr="0003607D">
        <w:rPr>
          <w:rStyle w:val="apple-converted-space"/>
          <w:rFonts w:eastAsiaTheme="majorEastAsia"/>
          <w:color w:val="000000"/>
        </w:rPr>
        <w:t xml:space="preserve">publique, Oumar Mahamat </w:t>
      </w:r>
      <w:proofErr w:type="spellStart"/>
      <w:r w:rsidRPr="0003607D">
        <w:rPr>
          <w:rStyle w:val="apple-converted-space"/>
          <w:rFonts w:eastAsiaTheme="majorEastAsia"/>
          <w:color w:val="000000"/>
        </w:rPr>
        <w:t>Kedelaya</w:t>
      </w:r>
      <w:proofErr w:type="spellEnd"/>
      <w:r w:rsidRPr="0003607D">
        <w:rPr>
          <w:rStyle w:val="apple-converted-space"/>
          <w:rFonts w:eastAsiaTheme="majorEastAsia"/>
          <w:color w:val="000000"/>
        </w:rPr>
        <w:t xml:space="preserve"> </w:t>
      </w:r>
      <w:r w:rsidRPr="00836FC0">
        <w:rPr>
          <w:rStyle w:val="apple-converted-space"/>
          <w:rFonts w:eastAsiaTheme="majorEastAsia"/>
          <w:color w:val="000000"/>
        </w:rPr>
        <w:t xml:space="preserve">a interdit depuis samedi 14 juin </w:t>
      </w:r>
      <w:r>
        <w:rPr>
          <w:rStyle w:val="apple-converted-space"/>
          <w:rFonts w:eastAsiaTheme="majorEastAsia"/>
          <w:color w:val="000000"/>
        </w:rPr>
        <w:t xml:space="preserve">2025 </w:t>
      </w:r>
      <w:r w:rsidRPr="00836FC0">
        <w:rPr>
          <w:rStyle w:val="apple-converted-space"/>
          <w:rFonts w:eastAsiaTheme="majorEastAsia"/>
          <w:color w:val="000000"/>
        </w:rPr>
        <w:t xml:space="preserve">aux journalistes et aux membres de la société civile de se rendre dans le village de </w:t>
      </w:r>
      <w:proofErr w:type="spellStart"/>
      <w:r w:rsidRPr="00836FC0">
        <w:rPr>
          <w:rStyle w:val="apple-converted-space"/>
          <w:rFonts w:eastAsiaTheme="majorEastAsia"/>
          <w:color w:val="000000"/>
        </w:rPr>
        <w:t>Mandakao</w:t>
      </w:r>
      <w:proofErr w:type="spellEnd"/>
      <w:r w:rsidRPr="00836FC0">
        <w:rPr>
          <w:rStyle w:val="apple-converted-space"/>
          <w:rFonts w:eastAsiaTheme="majorEastAsia"/>
          <w:color w:val="000000"/>
        </w:rPr>
        <w:t>, dans le Logone Occidental, pour enquêter sur les violences intercommunautaires qui ont fait une quarantaine de morts début mai dans ce village</w:t>
      </w:r>
      <w:r>
        <w:rPr>
          <w:rStyle w:val="FootnoteReference"/>
          <w:rFonts w:eastAsiaTheme="majorEastAsia"/>
          <w:color w:val="000000"/>
        </w:rPr>
        <w:footnoteReference w:id="28"/>
      </w:r>
      <w:r>
        <w:rPr>
          <w:rStyle w:val="apple-converted-space"/>
          <w:rFonts w:eastAsiaTheme="majorEastAsia"/>
          <w:color w:val="000000"/>
        </w:rPr>
        <w:t>. Il a menacé</w:t>
      </w:r>
      <w:r w:rsidRPr="0003607D">
        <w:rPr>
          <w:rStyle w:val="apple-converted-space"/>
          <w:rFonts w:eastAsiaTheme="majorEastAsia"/>
          <w:color w:val="000000"/>
        </w:rPr>
        <w:t xml:space="preserve"> les jou</w:t>
      </w:r>
      <w:r>
        <w:rPr>
          <w:rStyle w:val="apple-converted-space"/>
          <w:rFonts w:eastAsiaTheme="majorEastAsia"/>
          <w:color w:val="000000"/>
        </w:rPr>
        <w:t>r</w:t>
      </w:r>
      <w:r w:rsidRPr="0003607D">
        <w:rPr>
          <w:rStyle w:val="apple-converted-space"/>
          <w:rFonts w:eastAsiaTheme="majorEastAsia"/>
          <w:color w:val="000000"/>
        </w:rPr>
        <w:t xml:space="preserve">nalistes et les membres de la société civile de poursuites judiciaires pour avoir mené des missions de collectes d’informations sur </w:t>
      </w:r>
      <w:r>
        <w:rPr>
          <w:rStyle w:val="apple-converted-space"/>
          <w:rFonts w:eastAsiaTheme="majorEastAsia"/>
          <w:color w:val="000000"/>
        </w:rPr>
        <w:t>ces violences.</w:t>
      </w:r>
    </w:p>
    <w:p w14:paraId="6BEE42C3" w14:textId="77777777" w:rsidR="00227465" w:rsidRDefault="00D03A1B" w:rsidP="00227465">
      <w:pPr>
        <w:pStyle w:val="NormalWeb"/>
        <w:numPr>
          <w:ilvl w:val="0"/>
          <w:numId w:val="21"/>
        </w:numPr>
        <w:spacing w:line="276" w:lineRule="auto"/>
        <w:jc w:val="both"/>
        <w:rPr>
          <w:rStyle w:val="apple-converted-space"/>
          <w:rFonts w:eastAsiaTheme="majorEastAsia"/>
          <w:color w:val="000000"/>
        </w:rPr>
      </w:pPr>
      <w:r w:rsidRPr="0003607D">
        <w:rPr>
          <w:rStyle w:val="apple-converted-space"/>
          <w:rFonts w:eastAsiaTheme="majorEastAsia"/>
          <w:color w:val="000000"/>
        </w:rPr>
        <w:t xml:space="preserve">Les journalistes </w:t>
      </w:r>
      <w:proofErr w:type="spellStart"/>
      <w:r w:rsidRPr="00A013EE">
        <w:rPr>
          <w:rStyle w:val="apple-converted-space"/>
          <w:rFonts w:eastAsiaTheme="majorEastAsia"/>
          <w:b/>
          <w:bCs/>
          <w:color w:val="000000"/>
        </w:rPr>
        <w:t>Monodji</w:t>
      </w:r>
      <w:proofErr w:type="spellEnd"/>
      <w:r w:rsidRPr="00A013EE">
        <w:rPr>
          <w:rStyle w:val="apple-converted-space"/>
          <w:rFonts w:eastAsiaTheme="majorEastAsia"/>
          <w:b/>
          <w:bCs/>
          <w:color w:val="000000"/>
        </w:rPr>
        <w:t xml:space="preserve"> </w:t>
      </w:r>
      <w:proofErr w:type="spellStart"/>
      <w:r w:rsidRPr="00A013EE">
        <w:rPr>
          <w:rStyle w:val="apple-converted-space"/>
          <w:rFonts w:eastAsiaTheme="majorEastAsia"/>
          <w:b/>
          <w:bCs/>
          <w:color w:val="000000"/>
        </w:rPr>
        <w:t>Mbaidiguim</w:t>
      </w:r>
      <w:proofErr w:type="spellEnd"/>
      <w:r w:rsidRPr="00A013EE">
        <w:rPr>
          <w:rStyle w:val="apple-converted-space"/>
          <w:rFonts w:eastAsiaTheme="majorEastAsia"/>
          <w:b/>
          <w:bCs/>
          <w:color w:val="000000"/>
        </w:rPr>
        <w:t xml:space="preserve"> Olivier</w:t>
      </w:r>
      <w:r>
        <w:rPr>
          <w:rStyle w:val="apple-converted-space"/>
          <w:rFonts w:eastAsiaTheme="majorEastAsia"/>
          <w:color w:val="000000"/>
        </w:rPr>
        <w:t>, directeur de publication du journal Le Pays et correspondant RFI au Tchad</w:t>
      </w:r>
      <w:r w:rsidRPr="0003607D">
        <w:rPr>
          <w:rStyle w:val="apple-converted-space"/>
          <w:rFonts w:eastAsiaTheme="majorEastAsia"/>
          <w:color w:val="000000"/>
        </w:rPr>
        <w:t xml:space="preserve"> et </w:t>
      </w:r>
      <w:proofErr w:type="spellStart"/>
      <w:r w:rsidRPr="00A013EE">
        <w:rPr>
          <w:rStyle w:val="apple-converted-space"/>
          <w:rFonts w:eastAsiaTheme="majorEastAsia"/>
          <w:b/>
          <w:bCs/>
          <w:color w:val="000000"/>
        </w:rPr>
        <w:t>Mahmat</w:t>
      </w:r>
      <w:proofErr w:type="spellEnd"/>
      <w:r w:rsidRPr="00A013EE">
        <w:rPr>
          <w:rStyle w:val="apple-converted-space"/>
          <w:rFonts w:eastAsiaTheme="majorEastAsia"/>
          <w:b/>
          <w:bCs/>
          <w:color w:val="000000"/>
        </w:rPr>
        <w:t xml:space="preserve"> Al </w:t>
      </w:r>
      <w:proofErr w:type="spellStart"/>
      <w:r w:rsidRPr="00A013EE">
        <w:rPr>
          <w:rStyle w:val="apple-converted-space"/>
          <w:rFonts w:eastAsiaTheme="majorEastAsia"/>
          <w:b/>
          <w:bCs/>
          <w:color w:val="000000"/>
        </w:rPr>
        <w:t>Hisseine</w:t>
      </w:r>
      <w:proofErr w:type="spellEnd"/>
      <w:r w:rsidRPr="0003607D">
        <w:rPr>
          <w:rStyle w:val="apple-converted-space"/>
          <w:rFonts w:eastAsiaTheme="majorEastAsia"/>
          <w:color w:val="000000"/>
        </w:rPr>
        <w:t xml:space="preserve"> </w:t>
      </w:r>
      <w:r>
        <w:rPr>
          <w:rStyle w:val="apple-converted-space"/>
          <w:rFonts w:eastAsiaTheme="majorEastAsia"/>
          <w:color w:val="000000"/>
        </w:rPr>
        <w:t>de l’Office National des Médias Audiovisuels, ont été arrêtés arbitrairement et</w:t>
      </w:r>
      <w:r w:rsidRPr="0003607D">
        <w:rPr>
          <w:rStyle w:val="apple-converted-space"/>
          <w:rFonts w:eastAsiaTheme="majorEastAsia"/>
          <w:color w:val="000000"/>
        </w:rPr>
        <w:t xml:space="preserve"> placés en détention à la maison d’arr</w:t>
      </w:r>
      <w:r>
        <w:rPr>
          <w:rStyle w:val="apple-converted-space"/>
          <w:rFonts w:eastAsiaTheme="majorEastAsia"/>
          <w:color w:val="000000"/>
        </w:rPr>
        <w:t>ê</w:t>
      </w:r>
      <w:r w:rsidRPr="0003607D">
        <w:rPr>
          <w:rStyle w:val="apple-converted-space"/>
          <w:rFonts w:eastAsiaTheme="majorEastAsia"/>
          <w:color w:val="000000"/>
        </w:rPr>
        <w:t xml:space="preserve">t de </w:t>
      </w:r>
      <w:proofErr w:type="spellStart"/>
      <w:r w:rsidRPr="0003607D">
        <w:rPr>
          <w:rStyle w:val="apple-converted-space"/>
          <w:rFonts w:eastAsiaTheme="majorEastAsia"/>
          <w:color w:val="000000"/>
        </w:rPr>
        <w:t>Klessoum</w:t>
      </w:r>
      <w:proofErr w:type="spellEnd"/>
      <w:r>
        <w:rPr>
          <w:rStyle w:val="apple-converted-space"/>
          <w:rFonts w:eastAsiaTheme="majorEastAsia"/>
          <w:color w:val="000000"/>
        </w:rPr>
        <w:t xml:space="preserve"> le 10 mars 2025</w:t>
      </w:r>
      <w:r w:rsidRPr="0003607D">
        <w:rPr>
          <w:rStyle w:val="apple-converted-space"/>
          <w:rFonts w:eastAsiaTheme="majorEastAsia"/>
          <w:color w:val="000000"/>
        </w:rPr>
        <w:t>. Ils sont accusés d’intelligence avec une puissance extérieure.</w:t>
      </w:r>
    </w:p>
    <w:p w14:paraId="092B83F6" w14:textId="7AE630E2" w:rsidR="009C65FD" w:rsidRPr="00227465" w:rsidRDefault="009C65FD" w:rsidP="00227465">
      <w:pPr>
        <w:pStyle w:val="NormalWeb"/>
        <w:numPr>
          <w:ilvl w:val="0"/>
          <w:numId w:val="21"/>
        </w:numPr>
        <w:spacing w:line="276" w:lineRule="auto"/>
        <w:jc w:val="both"/>
        <w:rPr>
          <w:rFonts w:eastAsiaTheme="majorEastAsia"/>
          <w:color w:val="000000"/>
        </w:rPr>
      </w:pPr>
      <w:r w:rsidRPr="00227465">
        <w:rPr>
          <w:color w:val="000000" w:themeColor="text1"/>
        </w:rPr>
        <w:lastRenderedPageBreak/>
        <w:t>Le 17 septembre 2025, le ministre tchadien de l’Administration du territoire et de la décentralisation a, par un </w:t>
      </w:r>
      <w:hyperlink r:id="rId11" w:tgtFrame="_blank" w:tooltip="https://click.mlsend.com/link/c/YT0yODQxNzQ4NjIyNDU2OTE5NTEzJmM9bTZhMiZlPTQ4NDAzOSZiPTE0ODAzMzUzMjgmZD1xMXQybzJj.9vi6SINA2qFHtT1fbLCn3aUAIkPwo1MAtUYj8ldkKBo" w:history="1">
        <w:r w:rsidRPr="00227465">
          <w:rPr>
            <w:color w:val="000000" w:themeColor="text1"/>
            <w:u w:val="single"/>
          </w:rPr>
          <w:t>décret</w:t>
        </w:r>
      </w:hyperlink>
      <w:r w:rsidRPr="00227465">
        <w:rPr>
          <w:color w:val="000000" w:themeColor="text1"/>
        </w:rPr>
        <w:t xml:space="preserve">, prononcé la déchéance de nationalité de </w:t>
      </w:r>
      <w:r w:rsidRPr="00227465">
        <w:rPr>
          <w:b/>
          <w:bCs/>
          <w:color w:val="000000" w:themeColor="text1"/>
        </w:rPr>
        <w:t xml:space="preserve">MM. </w:t>
      </w:r>
      <w:proofErr w:type="spellStart"/>
      <w:r w:rsidRPr="00227465">
        <w:rPr>
          <w:b/>
          <w:bCs/>
          <w:color w:val="000000" w:themeColor="text1"/>
        </w:rPr>
        <w:t>Nguebla</w:t>
      </w:r>
      <w:proofErr w:type="spellEnd"/>
      <w:r w:rsidRPr="00227465">
        <w:rPr>
          <w:b/>
          <w:bCs/>
          <w:color w:val="000000" w:themeColor="text1"/>
        </w:rPr>
        <w:t xml:space="preserve"> </w:t>
      </w:r>
      <w:proofErr w:type="spellStart"/>
      <w:r w:rsidRPr="00227465">
        <w:rPr>
          <w:b/>
          <w:bCs/>
          <w:color w:val="000000" w:themeColor="text1"/>
        </w:rPr>
        <w:t>Makaïla</w:t>
      </w:r>
      <w:proofErr w:type="spellEnd"/>
      <w:r w:rsidRPr="00227465">
        <w:rPr>
          <w:b/>
          <w:bCs/>
          <w:color w:val="000000" w:themeColor="text1"/>
        </w:rPr>
        <w:t xml:space="preserve">, et </w:t>
      </w:r>
      <w:proofErr w:type="spellStart"/>
      <w:r w:rsidRPr="00227465">
        <w:rPr>
          <w:b/>
          <w:bCs/>
          <w:color w:val="000000" w:themeColor="text1"/>
        </w:rPr>
        <w:t>Charfardine</w:t>
      </w:r>
      <w:proofErr w:type="spellEnd"/>
      <w:r w:rsidRPr="00227465">
        <w:rPr>
          <w:b/>
          <w:bCs/>
          <w:color w:val="000000" w:themeColor="text1"/>
        </w:rPr>
        <w:t xml:space="preserve"> </w:t>
      </w:r>
      <w:proofErr w:type="spellStart"/>
      <w:r w:rsidRPr="00227465">
        <w:rPr>
          <w:b/>
          <w:bCs/>
          <w:color w:val="000000" w:themeColor="text1"/>
        </w:rPr>
        <w:t>Galmaye</w:t>
      </w:r>
      <w:proofErr w:type="spellEnd"/>
      <w:r w:rsidRPr="00227465">
        <w:rPr>
          <w:b/>
          <w:bCs/>
          <w:color w:val="000000" w:themeColor="text1"/>
        </w:rPr>
        <w:t xml:space="preserve"> Saleh</w:t>
      </w:r>
      <w:r w:rsidRPr="00227465">
        <w:rPr>
          <w:color w:val="000000" w:themeColor="text1"/>
        </w:rPr>
        <w:t>, deux voix critiques de l’actuel régime, pour « intelligence avec les puissances étrangères » et « activités incompatibles avec la qualité de citoyen tchadien »</w:t>
      </w:r>
      <w:r w:rsidR="00DB5EEC">
        <w:rPr>
          <w:rStyle w:val="FootnoteReference"/>
          <w:color w:val="000000" w:themeColor="text1"/>
        </w:rPr>
        <w:footnoteReference w:id="29"/>
      </w:r>
      <w:r w:rsidRPr="00227465">
        <w:rPr>
          <w:color w:val="000000" w:themeColor="text1"/>
        </w:rPr>
        <w:t>.</w:t>
      </w:r>
    </w:p>
    <w:p w14:paraId="0D11E47C" w14:textId="598B7F8B" w:rsidR="00861612" w:rsidRPr="00A013EE" w:rsidRDefault="00F021D1" w:rsidP="00861612">
      <w:pPr>
        <w:pStyle w:val="NormalWeb"/>
        <w:numPr>
          <w:ilvl w:val="0"/>
          <w:numId w:val="21"/>
        </w:numPr>
        <w:spacing w:line="276" w:lineRule="auto"/>
        <w:jc w:val="both"/>
        <w:rPr>
          <w:rStyle w:val="Strong"/>
          <w:rFonts w:eastAsiaTheme="majorEastAsia"/>
          <w:b w:val="0"/>
          <w:bCs w:val="0"/>
          <w:color w:val="000000" w:themeColor="text1"/>
        </w:rPr>
      </w:pPr>
      <w:r w:rsidRPr="00C94CDD">
        <w:rPr>
          <w:rStyle w:val="Strong"/>
          <w:rFonts w:eastAsiaTheme="majorEastAsia"/>
          <w:b w:val="0"/>
          <w:bCs w:val="0"/>
          <w:color w:val="000000" w:themeColor="text1"/>
        </w:rPr>
        <w:t xml:space="preserve">Au mois de novembre 2025, </w:t>
      </w:r>
      <w:r w:rsidRPr="00C94CDD">
        <w:rPr>
          <w:rStyle w:val="Strong"/>
          <w:rFonts w:eastAsiaTheme="majorEastAsia"/>
          <w:color w:val="000000" w:themeColor="text1"/>
        </w:rPr>
        <w:t>q</w:t>
      </w:r>
      <w:r w:rsidR="00861612" w:rsidRPr="00C94CDD">
        <w:rPr>
          <w:rStyle w:val="Strong"/>
          <w:rFonts w:eastAsiaTheme="majorEastAsia"/>
          <w:color w:val="000000" w:themeColor="text1"/>
        </w:rPr>
        <w:t xml:space="preserve">uatre membres de la LTDH : </w:t>
      </w:r>
      <w:proofErr w:type="spellStart"/>
      <w:r w:rsidR="00861612" w:rsidRPr="00C94CDD">
        <w:rPr>
          <w:rStyle w:val="Strong"/>
          <w:rFonts w:eastAsiaTheme="majorEastAsia"/>
          <w:color w:val="000000" w:themeColor="text1"/>
        </w:rPr>
        <w:t>Ngafwé</w:t>
      </w:r>
      <w:proofErr w:type="spellEnd"/>
      <w:r w:rsidR="00861612" w:rsidRPr="00C94CDD">
        <w:rPr>
          <w:rStyle w:val="Strong"/>
          <w:rFonts w:eastAsiaTheme="majorEastAsia"/>
          <w:color w:val="000000" w:themeColor="text1"/>
        </w:rPr>
        <w:t xml:space="preserve"> </w:t>
      </w:r>
      <w:proofErr w:type="spellStart"/>
      <w:r w:rsidR="00861612" w:rsidRPr="00C94CDD">
        <w:rPr>
          <w:rStyle w:val="Strong"/>
          <w:rFonts w:eastAsiaTheme="majorEastAsia"/>
          <w:color w:val="000000" w:themeColor="text1"/>
        </w:rPr>
        <w:t>Lamtouin</w:t>
      </w:r>
      <w:proofErr w:type="spellEnd"/>
      <w:r w:rsidR="00861612" w:rsidRPr="00C94CDD">
        <w:rPr>
          <w:rStyle w:val="Strong"/>
          <w:rFonts w:eastAsiaTheme="majorEastAsia"/>
          <w:color w:val="000000" w:themeColor="text1"/>
        </w:rPr>
        <w:t xml:space="preserve"> </w:t>
      </w:r>
      <w:proofErr w:type="spellStart"/>
      <w:r w:rsidR="00861612" w:rsidRPr="00C94CDD">
        <w:rPr>
          <w:rStyle w:val="Strong"/>
          <w:rFonts w:eastAsiaTheme="majorEastAsia"/>
          <w:color w:val="000000" w:themeColor="text1"/>
        </w:rPr>
        <w:t>Lagasso</w:t>
      </w:r>
      <w:proofErr w:type="spellEnd"/>
      <w:r w:rsidR="00861612" w:rsidRPr="00C94CDD">
        <w:rPr>
          <w:rStyle w:val="Strong"/>
          <w:rFonts w:eastAsiaTheme="majorEastAsia"/>
          <w:color w:val="000000" w:themeColor="text1"/>
        </w:rPr>
        <w:t xml:space="preserve">, </w:t>
      </w:r>
      <w:proofErr w:type="spellStart"/>
      <w:r w:rsidR="00861612" w:rsidRPr="00C94CDD">
        <w:rPr>
          <w:rStyle w:val="Strong"/>
          <w:rFonts w:eastAsiaTheme="majorEastAsia"/>
          <w:color w:val="000000" w:themeColor="text1"/>
        </w:rPr>
        <w:t>Djasrabé</w:t>
      </w:r>
      <w:proofErr w:type="spellEnd"/>
      <w:r w:rsidR="00861612" w:rsidRPr="00C94CDD">
        <w:rPr>
          <w:rStyle w:val="Strong"/>
          <w:rFonts w:eastAsiaTheme="majorEastAsia"/>
          <w:color w:val="000000" w:themeColor="text1"/>
        </w:rPr>
        <w:t xml:space="preserve"> </w:t>
      </w:r>
      <w:proofErr w:type="spellStart"/>
      <w:r w:rsidR="00861612" w:rsidRPr="00C94CDD">
        <w:rPr>
          <w:rStyle w:val="Strong"/>
          <w:rFonts w:eastAsiaTheme="majorEastAsia"/>
          <w:color w:val="000000" w:themeColor="text1"/>
        </w:rPr>
        <w:t>Wailengar</w:t>
      </w:r>
      <w:proofErr w:type="spellEnd"/>
      <w:r w:rsidR="00861612" w:rsidRPr="00C94CDD">
        <w:rPr>
          <w:rStyle w:val="Strong"/>
          <w:rFonts w:eastAsiaTheme="majorEastAsia"/>
          <w:color w:val="000000" w:themeColor="text1"/>
        </w:rPr>
        <w:t xml:space="preserve"> </w:t>
      </w:r>
      <w:proofErr w:type="spellStart"/>
      <w:r w:rsidR="00861612" w:rsidRPr="00C94CDD">
        <w:rPr>
          <w:rStyle w:val="Strong"/>
          <w:rFonts w:eastAsiaTheme="majorEastAsia"/>
          <w:color w:val="000000" w:themeColor="text1"/>
        </w:rPr>
        <w:t>Dobian</w:t>
      </w:r>
      <w:proofErr w:type="spellEnd"/>
      <w:r w:rsidR="00861612" w:rsidRPr="00C94CDD">
        <w:rPr>
          <w:rStyle w:val="Strong"/>
          <w:rFonts w:eastAsiaTheme="majorEastAsia"/>
          <w:color w:val="000000" w:themeColor="text1"/>
        </w:rPr>
        <w:t xml:space="preserve">, </w:t>
      </w:r>
      <w:proofErr w:type="spellStart"/>
      <w:r w:rsidR="00861612" w:rsidRPr="00C94CDD">
        <w:rPr>
          <w:rStyle w:val="Strong"/>
          <w:rFonts w:eastAsiaTheme="majorEastAsia"/>
          <w:color w:val="000000" w:themeColor="text1"/>
        </w:rPr>
        <w:t>NDadnouba</w:t>
      </w:r>
      <w:proofErr w:type="spellEnd"/>
      <w:r w:rsidR="00861612" w:rsidRPr="00C94CDD">
        <w:rPr>
          <w:rStyle w:val="Strong"/>
          <w:rFonts w:eastAsiaTheme="majorEastAsia"/>
          <w:color w:val="000000" w:themeColor="text1"/>
        </w:rPr>
        <w:t xml:space="preserve"> Teresa </w:t>
      </w:r>
      <w:proofErr w:type="spellStart"/>
      <w:r w:rsidR="00861612" w:rsidRPr="00C94CDD">
        <w:rPr>
          <w:rStyle w:val="Strong"/>
          <w:rFonts w:eastAsiaTheme="majorEastAsia"/>
          <w:color w:val="000000" w:themeColor="text1"/>
        </w:rPr>
        <w:t>Boyalngar</w:t>
      </w:r>
      <w:proofErr w:type="spellEnd"/>
      <w:r w:rsidR="00861612" w:rsidRPr="00C94CDD">
        <w:rPr>
          <w:rStyle w:val="Strong"/>
          <w:rFonts w:eastAsiaTheme="majorEastAsia"/>
          <w:color w:val="000000" w:themeColor="text1"/>
        </w:rPr>
        <w:t xml:space="preserve"> et </w:t>
      </w:r>
      <w:proofErr w:type="spellStart"/>
      <w:r w:rsidR="00861612" w:rsidRPr="00C94CDD">
        <w:rPr>
          <w:rStyle w:val="Strong"/>
          <w:rFonts w:eastAsiaTheme="majorEastAsia"/>
          <w:color w:val="000000" w:themeColor="text1"/>
        </w:rPr>
        <w:t>Madingue</w:t>
      </w:r>
      <w:proofErr w:type="spellEnd"/>
      <w:r w:rsidR="00861612" w:rsidRPr="00C94CDD">
        <w:rPr>
          <w:rStyle w:val="Strong"/>
          <w:rFonts w:eastAsiaTheme="majorEastAsia"/>
          <w:color w:val="000000" w:themeColor="text1"/>
        </w:rPr>
        <w:t xml:space="preserve"> Djimtoingar</w:t>
      </w:r>
      <w:r w:rsidR="00861612" w:rsidRPr="00C94CDD">
        <w:rPr>
          <w:rStyle w:val="Strong"/>
          <w:rFonts w:eastAsiaTheme="majorEastAsia"/>
          <w:b w:val="0"/>
          <w:bCs w:val="0"/>
          <w:color w:val="000000" w:themeColor="text1"/>
        </w:rPr>
        <w:t xml:space="preserve"> ont été empêchés de quitter la ville de Bol par le Délégué général du gouvernement auprès de la province du Lac, le général Saleh </w:t>
      </w:r>
      <w:proofErr w:type="spellStart"/>
      <w:r w:rsidR="00861612" w:rsidRPr="00C94CDD">
        <w:rPr>
          <w:rStyle w:val="Strong"/>
          <w:rFonts w:eastAsiaTheme="majorEastAsia"/>
          <w:b w:val="0"/>
          <w:bCs w:val="0"/>
          <w:color w:val="000000" w:themeColor="text1"/>
        </w:rPr>
        <w:t>Tidjani</w:t>
      </w:r>
      <w:proofErr w:type="spellEnd"/>
      <w:r w:rsidR="00861612" w:rsidRPr="00C94CDD">
        <w:rPr>
          <w:rStyle w:val="Strong"/>
          <w:rFonts w:eastAsiaTheme="majorEastAsia"/>
          <w:b w:val="0"/>
          <w:bCs w:val="0"/>
          <w:color w:val="000000" w:themeColor="text1"/>
        </w:rPr>
        <w:t xml:space="preserve"> </w:t>
      </w:r>
      <w:proofErr w:type="spellStart"/>
      <w:r w:rsidR="00861612" w:rsidRPr="00C94CDD">
        <w:rPr>
          <w:rStyle w:val="Strong"/>
          <w:rFonts w:eastAsiaTheme="majorEastAsia"/>
          <w:b w:val="0"/>
          <w:bCs w:val="0"/>
          <w:color w:val="000000" w:themeColor="text1"/>
        </w:rPr>
        <w:t>Hagar</w:t>
      </w:r>
      <w:proofErr w:type="spellEnd"/>
      <w:r w:rsidR="00861612" w:rsidRPr="00C94CDD">
        <w:rPr>
          <w:rStyle w:val="Strong"/>
          <w:rFonts w:eastAsiaTheme="majorEastAsia"/>
          <w:b w:val="0"/>
          <w:bCs w:val="0"/>
          <w:color w:val="000000" w:themeColor="text1"/>
        </w:rPr>
        <w:t>. Lors d’une mission de suivi dans le cadre d’un projet de prévention</w:t>
      </w:r>
      <w:r w:rsidR="00861612" w:rsidRPr="00A013EE">
        <w:rPr>
          <w:rStyle w:val="Strong"/>
          <w:rFonts w:eastAsiaTheme="majorEastAsia"/>
          <w:b w:val="0"/>
          <w:bCs w:val="0"/>
          <w:color w:val="000000" w:themeColor="text1"/>
        </w:rPr>
        <w:t xml:space="preserve"> de la radicalisation, le délégué a qualifié la LTDH « d’ONG infiltrée » et ses membres « d’espions », avant de leur interdire de circuler librement tant que les responsables de l’organisation ne se présenteraient pas.</w:t>
      </w:r>
      <w:r w:rsidR="00F14C7E" w:rsidRPr="00A013EE">
        <w:rPr>
          <w:rStyle w:val="FootnoteReference"/>
          <w:rFonts w:eastAsiaTheme="majorEastAsia"/>
          <w:color w:val="000000" w:themeColor="text1"/>
        </w:rPr>
        <w:footnoteReference w:id="30"/>
      </w:r>
    </w:p>
    <w:p w14:paraId="64AE9738" w14:textId="2CA56857" w:rsidR="00861612" w:rsidRPr="00A013EE" w:rsidRDefault="00861612" w:rsidP="00861612">
      <w:pPr>
        <w:pStyle w:val="NormalWeb"/>
        <w:spacing w:line="276" w:lineRule="auto"/>
        <w:ind w:left="360"/>
        <w:jc w:val="both"/>
        <w:rPr>
          <w:rStyle w:val="Strong"/>
          <w:rFonts w:eastAsiaTheme="majorEastAsia"/>
          <w:b w:val="0"/>
          <w:bCs w:val="0"/>
          <w:color w:val="000000" w:themeColor="text1"/>
        </w:rPr>
      </w:pPr>
      <w:r w:rsidRPr="00A013EE">
        <w:rPr>
          <w:rStyle w:val="Strong"/>
          <w:rFonts w:eastAsiaTheme="majorEastAsia"/>
          <w:b w:val="0"/>
          <w:bCs w:val="0"/>
          <w:color w:val="000000" w:themeColor="text1"/>
        </w:rPr>
        <w:t>Cet incident s’inscrit dans un schéma plus large de contrôle et de surveillance des organisations de la société civile (OSC) au Tchad, notamment celles travaillant sur des sujets sensibles tels que les droits humains, la prévention de la radicalisation ou l’extrémisme. Il illustre la stigmatisation et la criminalisation de l’action des OSC, la restriction arbitraire de la liberté de circulation, et le risque de décourager les interventions sur le terrain.</w:t>
      </w:r>
    </w:p>
    <w:tbl>
      <w:tblPr>
        <w:tblStyle w:val="TableGrid"/>
        <w:tblW w:w="0" w:type="auto"/>
        <w:tblLook w:val="04A0" w:firstRow="1" w:lastRow="0" w:firstColumn="1" w:lastColumn="0" w:noHBand="0" w:noVBand="1"/>
      </w:tblPr>
      <w:tblGrid>
        <w:gridCol w:w="9062"/>
      </w:tblGrid>
      <w:tr w:rsidR="00CA4602" w14:paraId="15AB6D23" w14:textId="77777777" w:rsidTr="00CA4602">
        <w:tc>
          <w:tcPr>
            <w:tcW w:w="9062" w:type="dxa"/>
          </w:tcPr>
          <w:p w14:paraId="26583B5C" w14:textId="6E7B800E" w:rsidR="00CA4602" w:rsidRPr="00C94CDD" w:rsidRDefault="00CA4602" w:rsidP="00CA4602">
            <w:pPr>
              <w:pStyle w:val="NormalWeb"/>
              <w:spacing w:line="276" w:lineRule="auto"/>
              <w:jc w:val="both"/>
              <w:rPr>
                <w:rStyle w:val="Strong"/>
                <w:rFonts w:eastAsiaTheme="majorEastAsia"/>
                <w:b w:val="0"/>
                <w:bCs w:val="0"/>
                <w:color w:val="000000" w:themeColor="text1"/>
              </w:rPr>
            </w:pPr>
            <w:r w:rsidRPr="00C94CDD">
              <w:rPr>
                <w:rStyle w:val="Strong"/>
                <w:rFonts w:eastAsiaTheme="majorEastAsia"/>
                <w:b w:val="0"/>
                <w:bCs w:val="0"/>
                <w:color w:val="000000" w:themeColor="text1"/>
              </w:rPr>
              <w:t xml:space="preserve">Recommandations : </w:t>
            </w:r>
          </w:p>
          <w:p w14:paraId="21E9F3EB" w14:textId="77777777" w:rsidR="00CA4602" w:rsidRPr="00C94CDD" w:rsidRDefault="00CA4602" w:rsidP="00CA4602">
            <w:pPr>
              <w:pStyle w:val="NormalWeb"/>
              <w:numPr>
                <w:ilvl w:val="0"/>
                <w:numId w:val="39"/>
              </w:numPr>
              <w:spacing w:line="276" w:lineRule="auto"/>
              <w:jc w:val="both"/>
              <w:rPr>
                <w:rStyle w:val="Strong"/>
                <w:rFonts w:eastAsiaTheme="majorEastAsia"/>
                <w:b w:val="0"/>
                <w:bCs w:val="0"/>
                <w:color w:val="000000" w:themeColor="text1"/>
              </w:rPr>
            </w:pPr>
            <w:r w:rsidRPr="00C94CDD">
              <w:rPr>
                <w:rStyle w:val="Strong"/>
                <w:rFonts w:eastAsiaTheme="majorEastAsia"/>
                <w:b w:val="0"/>
                <w:bCs w:val="0"/>
                <w:color w:val="000000" w:themeColor="text1"/>
              </w:rPr>
              <w:t xml:space="preserve">Mettre fin aux </w:t>
            </w:r>
            <w:r w:rsidRPr="00C94CDD">
              <w:rPr>
                <w:rStyle w:val="apple-converted-space"/>
                <w:rFonts w:eastAsiaTheme="majorEastAsia"/>
                <w:color w:val="000000" w:themeColor="text1"/>
              </w:rPr>
              <w:t>menaces, harcèlement et représailles sur certains hommes politiques, journalistes et défenseurs des droits humains ;</w:t>
            </w:r>
          </w:p>
          <w:p w14:paraId="273F3A64" w14:textId="77777777" w:rsidR="00CA4602" w:rsidRPr="00C94CDD" w:rsidRDefault="00CA4602" w:rsidP="00CA4602">
            <w:pPr>
              <w:pStyle w:val="NormalWeb"/>
              <w:numPr>
                <w:ilvl w:val="0"/>
                <w:numId w:val="39"/>
              </w:numPr>
              <w:spacing w:line="276" w:lineRule="auto"/>
              <w:jc w:val="both"/>
              <w:rPr>
                <w:rStyle w:val="Strong"/>
                <w:rFonts w:eastAsiaTheme="majorEastAsia"/>
                <w:b w:val="0"/>
                <w:bCs w:val="0"/>
                <w:color w:val="000000" w:themeColor="text1"/>
              </w:rPr>
            </w:pPr>
            <w:r w:rsidRPr="00C94CDD">
              <w:rPr>
                <w:rStyle w:val="Strong"/>
                <w:rFonts w:eastAsiaTheme="majorEastAsia"/>
                <w:b w:val="0"/>
                <w:bCs w:val="0"/>
                <w:color w:val="000000" w:themeColor="text1"/>
              </w:rPr>
              <w:t>Ouvrir immédiatement des enquêtes rapides, efficaces et impartiales sur tous les cas</w:t>
            </w:r>
            <w:r w:rsidRPr="00C94CDD">
              <w:rPr>
                <w:rStyle w:val="apple-converted-space"/>
                <w:rFonts w:eastAsiaTheme="majorEastAsia"/>
                <w:color w:val="000000" w:themeColor="text1"/>
              </w:rPr>
              <w:t xml:space="preserve"> </w:t>
            </w:r>
            <w:r w:rsidRPr="00C94CDD">
              <w:rPr>
                <w:rStyle w:val="Strong"/>
                <w:rFonts w:eastAsiaTheme="majorEastAsia"/>
                <w:b w:val="0"/>
                <w:bCs w:val="0"/>
                <w:color w:val="000000" w:themeColor="text1"/>
              </w:rPr>
              <w:t>d’arrestation et de détention arbitraire d’</w:t>
            </w:r>
            <w:r w:rsidRPr="00C94CDD">
              <w:rPr>
                <w:rStyle w:val="apple-converted-space"/>
                <w:rFonts w:eastAsiaTheme="majorEastAsia"/>
                <w:color w:val="000000" w:themeColor="text1"/>
              </w:rPr>
              <w:t xml:space="preserve">hommes politiques, journalistes et défenseurs des droits humains, </w:t>
            </w:r>
            <w:r w:rsidRPr="00C94CDD">
              <w:rPr>
                <w:rStyle w:val="Strong"/>
                <w:rFonts w:eastAsiaTheme="majorEastAsia"/>
                <w:b w:val="0"/>
                <w:bCs w:val="0"/>
                <w:color w:val="000000" w:themeColor="text1"/>
              </w:rPr>
              <w:t>et punir les responsables par des peines appropriées ;</w:t>
            </w:r>
          </w:p>
          <w:p w14:paraId="7988F1A6" w14:textId="77777777" w:rsidR="00CA4602" w:rsidRDefault="00CA4602" w:rsidP="00CA4602">
            <w:pPr>
              <w:pStyle w:val="NormalWeb"/>
              <w:spacing w:line="276" w:lineRule="auto"/>
              <w:jc w:val="both"/>
              <w:rPr>
                <w:rStyle w:val="Strong"/>
                <w:rFonts w:eastAsiaTheme="majorEastAsia"/>
                <w:b w:val="0"/>
                <w:bCs w:val="0"/>
                <w:color w:val="FF0000"/>
              </w:rPr>
            </w:pPr>
          </w:p>
        </w:tc>
      </w:tr>
    </w:tbl>
    <w:p w14:paraId="4E6174D9" w14:textId="77777777" w:rsidR="00C94CDD" w:rsidRDefault="00C94CDD" w:rsidP="00C94CDD">
      <w:pPr>
        <w:pStyle w:val="NormalWeb"/>
        <w:spacing w:before="0" w:beforeAutospacing="0" w:after="0" w:afterAutospacing="0" w:line="276" w:lineRule="auto"/>
        <w:ind w:left="720"/>
        <w:rPr>
          <w:rStyle w:val="Strong"/>
          <w:rFonts w:eastAsiaTheme="majorEastAsia"/>
          <w:color w:val="000000"/>
          <w:u w:val="single"/>
        </w:rPr>
      </w:pPr>
    </w:p>
    <w:p w14:paraId="6D70936F" w14:textId="24683FB9" w:rsidR="0039204E" w:rsidRDefault="0039204E" w:rsidP="00A013EE">
      <w:pPr>
        <w:pStyle w:val="NormalWeb"/>
        <w:numPr>
          <w:ilvl w:val="0"/>
          <w:numId w:val="15"/>
        </w:numPr>
        <w:spacing w:before="0" w:beforeAutospacing="0" w:after="0" w:afterAutospacing="0" w:line="276" w:lineRule="auto"/>
        <w:rPr>
          <w:rStyle w:val="Strong"/>
          <w:rFonts w:eastAsiaTheme="majorEastAsia"/>
          <w:color w:val="000000"/>
          <w:u w:val="single"/>
        </w:rPr>
      </w:pPr>
      <w:r w:rsidRPr="0039204E">
        <w:rPr>
          <w:rStyle w:val="Strong"/>
          <w:rFonts w:eastAsiaTheme="majorEastAsia"/>
          <w:color w:val="000000"/>
          <w:u w:val="single"/>
        </w:rPr>
        <w:t xml:space="preserve">Droits des enfants </w:t>
      </w:r>
      <w:r>
        <w:rPr>
          <w:rStyle w:val="Strong"/>
          <w:rFonts w:eastAsiaTheme="majorEastAsia"/>
          <w:color w:val="000000"/>
          <w:u w:val="single"/>
        </w:rPr>
        <w:t>(articles 7 et 24)</w:t>
      </w:r>
    </w:p>
    <w:p w14:paraId="1C77D05D" w14:textId="53829788" w:rsidR="00F0199C" w:rsidRPr="00F0199C" w:rsidRDefault="00F0199C" w:rsidP="00F0199C">
      <w:pPr>
        <w:pStyle w:val="NormalWeb"/>
        <w:spacing w:line="276" w:lineRule="auto"/>
        <w:rPr>
          <w:color w:val="000000"/>
        </w:rPr>
      </w:pPr>
      <w:r w:rsidRPr="00F0199C">
        <w:rPr>
          <w:color w:val="000000"/>
        </w:rPr>
        <w:t>Le Tchad a fourni de</w:t>
      </w:r>
      <w:r w:rsidR="00881279">
        <w:rPr>
          <w:color w:val="000000"/>
        </w:rPr>
        <w:t xml:space="preserve"> nombreux</w:t>
      </w:r>
      <w:r w:rsidRPr="00F0199C">
        <w:rPr>
          <w:color w:val="000000"/>
        </w:rPr>
        <w:t xml:space="preserve"> efforts en faveur des enfants en con</w:t>
      </w:r>
      <w:r w:rsidR="00181203">
        <w:rPr>
          <w:color w:val="000000"/>
        </w:rPr>
        <w:t>flit</w:t>
      </w:r>
      <w:r w:rsidRPr="00F0199C">
        <w:rPr>
          <w:color w:val="000000"/>
        </w:rPr>
        <w:t xml:space="preserve"> avec la loi</w:t>
      </w:r>
      <w:r w:rsidR="00881279">
        <w:rPr>
          <w:color w:val="000000"/>
        </w:rPr>
        <w:t> :</w:t>
      </w:r>
    </w:p>
    <w:p w14:paraId="3B812F97" w14:textId="06B0687F" w:rsidR="00F0199C" w:rsidRPr="00F0199C" w:rsidRDefault="00F0199C" w:rsidP="00A013EE">
      <w:pPr>
        <w:pStyle w:val="NormalWeb"/>
        <w:spacing w:before="0" w:beforeAutospacing="0" w:after="0" w:afterAutospacing="0" w:line="276" w:lineRule="auto"/>
        <w:rPr>
          <w:color w:val="000000"/>
        </w:rPr>
      </w:pPr>
      <w:r w:rsidRPr="00F0199C">
        <w:rPr>
          <w:color w:val="000000"/>
        </w:rPr>
        <w:t>•</w:t>
      </w:r>
      <w:r w:rsidRPr="00F0199C">
        <w:rPr>
          <w:color w:val="000000"/>
        </w:rPr>
        <w:tab/>
        <w:t>La politique nationale genre adoptée en 2011 et son plan d’action 2019-2023</w:t>
      </w:r>
      <w:r w:rsidR="00466700">
        <w:rPr>
          <w:color w:val="000000"/>
        </w:rPr>
        <w:t xml:space="preserve"> </w:t>
      </w:r>
      <w:r w:rsidRPr="00F0199C">
        <w:rPr>
          <w:color w:val="000000"/>
        </w:rPr>
        <w:t>;</w:t>
      </w:r>
    </w:p>
    <w:p w14:paraId="660B8959" w14:textId="496EE4DB" w:rsidR="00F0199C" w:rsidRPr="00F0199C" w:rsidRDefault="00F0199C" w:rsidP="00A013EE">
      <w:pPr>
        <w:pStyle w:val="NormalWeb"/>
        <w:spacing w:before="0" w:beforeAutospacing="0" w:after="0" w:afterAutospacing="0" w:line="276" w:lineRule="auto"/>
        <w:rPr>
          <w:color w:val="000000"/>
        </w:rPr>
      </w:pPr>
      <w:r w:rsidRPr="00F0199C">
        <w:rPr>
          <w:color w:val="000000"/>
        </w:rPr>
        <w:t>•</w:t>
      </w:r>
      <w:r w:rsidRPr="00F0199C">
        <w:rPr>
          <w:color w:val="000000"/>
        </w:rPr>
        <w:tab/>
        <w:t>Le document de stratégie nationale de lutte contre les violences basées sur le genre</w:t>
      </w:r>
      <w:r w:rsidR="00181203">
        <w:rPr>
          <w:color w:val="000000"/>
        </w:rPr>
        <w:t> ;</w:t>
      </w:r>
    </w:p>
    <w:p w14:paraId="63A0FED6" w14:textId="38A57C1F" w:rsidR="00F0199C" w:rsidRPr="00F0199C" w:rsidRDefault="00F0199C" w:rsidP="00A013EE">
      <w:pPr>
        <w:pStyle w:val="NormalWeb"/>
        <w:spacing w:before="0" w:beforeAutospacing="0" w:after="0" w:afterAutospacing="0" w:line="276" w:lineRule="auto"/>
        <w:rPr>
          <w:color w:val="000000"/>
        </w:rPr>
      </w:pPr>
      <w:r w:rsidRPr="00F0199C">
        <w:rPr>
          <w:color w:val="000000"/>
        </w:rPr>
        <w:t>•</w:t>
      </w:r>
      <w:r w:rsidRPr="00F0199C">
        <w:rPr>
          <w:color w:val="000000"/>
        </w:rPr>
        <w:tab/>
        <w:t>La feuille de route contre le mariage d’enfants et les mutilations Génitales Féminines au Tchad révisée et budgétisée 2019-2021</w:t>
      </w:r>
      <w:r w:rsidR="00466700">
        <w:rPr>
          <w:color w:val="000000"/>
        </w:rPr>
        <w:t xml:space="preserve"> </w:t>
      </w:r>
      <w:r w:rsidRPr="00F0199C">
        <w:rPr>
          <w:color w:val="000000"/>
        </w:rPr>
        <w:t>;</w:t>
      </w:r>
    </w:p>
    <w:p w14:paraId="325D39F9" w14:textId="3F977CA4" w:rsidR="00F0199C" w:rsidRPr="00F0199C" w:rsidRDefault="00F0199C" w:rsidP="00A013EE">
      <w:pPr>
        <w:pStyle w:val="NormalWeb"/>
        <w:spacing w:before="0" w:beforeAutospacing="0" w:after="0" w:afterAutospacing="0" w:line="276" w:lineRule="auto"/>
        <w:rPr>
          <w:color w:val="000000"/>
        </w:rPr>
      </w:pPr>
      <w:r w:rsidRPr="00F0199C">
        <w:rPr>
          <w:color w:val="000000"/>
        </w:rPr>
        <w:lastRenderedPageBreak/>
        <w:t>•</w:t>
      </w:r>
      <w:r w:rsidRPr="00F0199C">
        <w:rPr>
          <w:color w:val="000000"/>
        </w:rPr>
        <w:tab/>
        <w:t>La stratégie intérimaire de justice juvénile adoptée en 2017</w:t>
      </w:r>
      <w:r w:rsidR="00466700">
        <w:rPr>
          <w:color w:val="000000"/>
        </w:rPr>
        <w:t xml:space="preserve"> </w:t>
      </w:r>
      <w:r w:rsidRPr="00F0199C">
        <w:rPr>
          <w:color w:val="000000"/>
        </w:rPr>
        <w:t>;</w:t>
      </w:r>
    </w:p>
    <w:p w14:paraId="3D85E451" w14:textId="31956F14" w:rsidR="00F0199C" w:rsidRPr="00F0199C" w:rsidRDefault="00F0199C" w:rsidP="00A013EE">
      <w:pPr>
        <w:pStyle w:val="NormalWeb"/>
        <w:spacing w:before="0" w:beforeAutospacing="0" w:after="0" w:afterAutospacing="0" w:line="276" w:lineRule="auto"/>
        <w:rPr>
          <w:color w:val="000000"/>
        </w:rPr>
      </w:pPr>
      <w:r w:rsidRPr="00F0199C">
        <w:rPr>
          <w:color w:val="000000"/>
        </w:rPr>
        <w:t>•</w:t>
      </w:r>
      <w:r w:rsidRPr="00F0199C">
        <w:rPr>
          <w:color w:val="000000"/>
        </w:rPr>
        <w:tab/>
        <w:t>Plan d’action stratégique pour l’amélioration du système d’enregistrement des faits et des statistiques d’état civil 2018-2022</w:t>
      </w:r>
      <w:r w:rsidR="00466700">
        <w:rPr>
          <w:color w:val="000000"/>
        </w:rPr>
        <w:t xml:space="preserve"> </w:t>
      </w:r>
      <w:r w:rsidRPr="00F0199C">
        <w:rPr>
          <w:color w:val="000000"/>
        </w:rPr>
        <w:t>;</w:t>
      </w:r>
    </w:p>
    <w:p w14:paraId="5494CF9E" w14:textId="77777777" w:rsidR="00F0199C" w:rsidRPr="00F0199C" w:rsidRDefault="00F0199C" w:rsidP="00A013EE">
      <w:pPr>
        <w:pStyle w:val="NormalWeb"/>
        <w:spacing w:before="0" w:beforeAutospacing="0" w:after="0" w:afterAutospacing="0" w:line="276" w:lineRule="auto"/>
        <w:rPr>
          <w:color w:val="000000"/>
        </w:rPr>
      </w:pPr>
      <w:r w:rsidRPr="00F0199C">
        <w:rPr>
          <w:color w:val="000000"/>
        </w:rPr>
        <w:t>•</w:t>
      </w:r>
      <w:r w:rsidRPr="00F0199C">
        <w:rPr>
          <w:color w:val="000000"/>
        </w:rPr>
        <w:tab/>
        <w:t>Le décret 134/PR/MASSF du 30 décembre 2000 portant institution du parlement des enfants ;</w:t>
      </w:r>
    </w:p>
    <w:p w14:paraId="5701A79B" w14:textId="18DAF5AC" w:rsidR="00F8486C" w:rsidRDefault="00F0199C" w:rsidP="00F0199C">
      <w:pPr>
        <w:pStyle w:val="NormalWeb"/>
        <w:spacing w:before="0" w:beforeAutospacing="0" w:after="0" w:afterAutospacing="0" w:line="276" w:lineRule="auto"/>
        <w:rPr>
          <w:color w:val="000000"/>
        </w:rPr>
      </w:pPr>
      <w:r w:rsidRPr="00F0199C">
        <w:rPr>
          <w:color w:val="000000"/>
        </w:rPr>
        <w:t>•</w:t>
      </w:r>
      <w:r w:rsidRPr="00F0199C">
        <w:rPr>
          <w:color w:val="000000"/>
        </w:rPr>
        <w:tab/>
        <w:t>Le décret 100/AFF.SOC de juin 1963 relatif à la protection de l’enfance et de l’adolescence.</w:t>
      </w:r>
    </w:p>
    <w:p w14:paraId="230F8D8B" w14:textId="77777777" w:rsidR="00F0199C" w:rsidRDefault="00F0199C" w:rsidP="00F0199C">
      <w:pPr>
        <w:pStyle w:val="NormalWeb"/>
        <w:spacing w:before="0" w:beforeAutospacing="0" w:after="0" w:afterAutospacing="0" w:line="276" w:lineRule="auto"/>
        <w:rPr>
          <w:color w:val="000000"/>
        </w:rPr>
      </w:pPr>
    </w:p>
    <w:p w14:paraId="587A6913" w14:textId="07CA26EE" w:rsidR="0040350F" w:rsidRPr="00FA1DBE" w:rsidRDefault="00466700">
      <w:pPr>
        <w:pStyle w:val="NormalWeb"/>
        <w:spacing w:before="0" w:beforeAutospacing="0" w:after="0" w:afterAutospacing="0" w:line="276" w:lineRule="auto"/>
        <w:jc w:val="both"/>
        <w:rPr>
          <w:color w:val="000000" w:themeColor="text1"/>
        </w:rPr>
      </w:pPr>
      <w:r>
        <w:rPr>
          <w:color w:val="000000" w:themeColor="text1"/>
        </w:rPr>
        <w:t>Toutefois, l</w:t>
      </w:r>
      <w:r w:rsidR="00861612" w:rsidRPr="00FA1DBE">
        <w:rPr>
          <w:color w:val="000000" w:themeColor="text1"/>
        </w:rPr>
        <w:t>es enfants tchadiens, et particulièrement les filles, restent fortement exposés aux violences, mariages précoces, sévices corporels et exploitation, dans un contexte marqué par l’impunité, la pauvreté et l’insuffisance des structures de protection.</w:t>
      </w:r>
    </w:p>
    <w:p w14:paraId="5A5563ED" w14:textId="77777777" w:rsidR="00FA1DBE" w:rsidRDefault="00FA1DBE">
      <w:pPr>
        <w:pStyle w:val="NormalWeb"/>
        <w:spacing w:before="0" w:beforeAutospacing="0" w:after="0" w:afterAutospacing="0" w:line="276" w:lineRule="auto"/>
        <w:jc w:val="both"/>
        <w:rPr>
          <w:color w:val="FF0000"/>
        </w:rPr>
      </w:pPr>
    </w:p>
    <w:p w14:paraId="4DEC7DF0" w14:textId="69B90205" w:rsidR="00F0199C" w:rsidRDefault="00F0199C" w:rsidP="00F0199C">
      <w:pPr>
        <w:spacing w:after="240"/>
        <w:jc w:val="both"/>
        <w:rPr>
          <w:lang w:val="fr-FR"/>
        </w:rPr>
      </w:pPr>
      <w:r w:rsidRPr="00BD1DC0">
        <w:rPr>
          <w:lang w:val="fr-FR"/>
        </w:rPr>
        <w:t xml:space="preserve">Les résultats des missions d’enquêtes </w:t>
      </w:r>
      <w:r>
        <w:rPr>
          <w:lang w:val="fr-FR"/>
        </w:rPr>
        <w:t xml:space="preserve">de la LTDH du </w:t>
      </w:r>
      <w:r w:rsidRPr="00BD1DC0">
        <w:rPr>
          <w:lang w:val="fr-FR"/>
        </w:rPr>
        <w:t>06 au 20 février 2024</w:t>
      </w:r>
      <w:r>
        <w:rPr>
          <w:lang w:val="fr-FR"/>
        </w:rPr>
        <w:t xml:space="preserve"> dans les cinq cours d’appel </w:t>
      </w:r>
      <w:r w:rsidRPr="00BD1DC0">
        <w:rPr>
          <w:lang w:val="fr-FR"/>
        </w:rPr>
        <w:t xml:space="preserve">ont relevé 887 cas de violences à l’endroit des mineurs et des femmes. Les situations particulières </w:t>
      </w:r>
      <w:r>
        <w:rPr>
          <w:lang w:val="fr-FR"/>
        </w:rPr>
        <w:t>subies par</w:t>
      </w:r>
      <w:r w:rsidRPr="00BD1DC0">
        <w:rPr>
          <w:lang w:val="fr-FR"/>
        </w:rPr>
        <w:t xml:space="preserve"> les enfants sont des cas d’arrestations et détentions arbitraires, des traitements inhumains et dégradants, de trafic et de traite de personnes.</w:t>
      </w:r>
    </w:p>
    <w:p w14:paraId="5AC11E0F" w14:textId="77777777" w:rsidR="00466700" w:rsidRDefault="00466700" w:rsidP="00466700">
      <w:pPr>
        <w:spacing w:after="240"/>
        <w:jc w:val="both"/>
        <w:rPr>
          <w:lang w:val="fr-FR"/>
        </w:rPr>
      </w:pPr>
      <w:r>
        <w:rPr>
          <w:lang w:val="fr-FR"/>
        </w:rPr>
        <w:t>Quelques illustrations :</w:t>
      </w:r>
    </w:p>
    <w:p w14:paraId="4A4EF7E8" w14:textId="4F680E9E" w:rsidR="00466700" w:rsidRPr="00466700" w:rsidRDefault="00466700" w:rsidP="00466700">
      <w:pPr>
        <w:pStyle w:val="ListParagraph"/>
        <w:numPr>
          <w:ilvl w:val="0"/>
          <w:numId w:val="40"/>
        </w:numPr>
        <w:spacing w:after="160" w:line="259" w:lineRule="auto"/>
        <w:jc w:val="both"/>
        <w:rPr>
          <w:i/>
          <w:lang w:val="fr-FR"/>
        </w:rPr>
      </w:pPr>
      <w:r w:rsidRPr="009537F0">
        <w:rPr>
          <w:rFonts w:eastAsia="MS Mincho"/>
          <w:bCs/>
          <w:i/>
          <w:lang w:val="fr-FR" w:eastAsia="ja-JP" w:bidi="sa-IN"/>
        </w:rPr>
        <w:t>Parmi les 44 supposés terroristes appartenant à Boko</w:t>
      </w:r>
      <w:r w:rsidR="00006882">
        <w:rPr>
          <w:rFonts w:eastAsia="MS Mincho"/>
          <w:bCs/>
          <w:i/>
          <w:lang w:val="fr-FR" w:eastAsia="ja-JP" w:bidi="sa-IN"/>
        </w:rPr>
        <w:t xml:space="preserve"> Haram</w:t>
      </w:r>
      <w:r w:rsidRPr="009537F0">
        <w:rPr>
          <w:rFonts w:eastAsia="MS Mincho"/>
          <w:bCs/>
          <w:i/>
          <w:lang w:val="fr-FR" w:eastAsia="ja-JP" w:bidi="sa-IN"/>
        </w:rPr>
        <w:t xml:space="preserve"> arrêtés en 2020, </w:t>
      </w:r>
      <w:r>
        <w:rPr>
          <w:rFonts w:eastAsia="MS Mincho"/>
          <w:bCs/>
          <w:i/>
          <w:lang w:val="fr-FR" w:eastAsia="ja-JP" w:bidi="sa-IN"/>
        </w:rPr>
        <w:t>il y a un mineur de 14 ans ;</w:t>
      </w:r>
    </w:p>
    <w:p w14:paraId="7CDEACE4" w14:textId="77777777" w:rsidR="00466700" w:rsidRPr="00466700" w:rsidRDefault="00466700" w:rsidP="00466700">
      <w:pPr>
        <w:pStyle w:val="ListParagraph"/>
        <w:numPr>
          <w:ilvl w:val="0"/>
          <w:numId w:val="40"/>
        </w:numPr>
        <w:spacing w:after="160" w:line="259" w:lineRule="auto"/>
        <w:jc w:val="both"/>
        <w:rPr>
          <w:i/>
          <w:lang w:val="fr-FR"/>
        </w:rPr>
      </w:pPr>
      <w:r w:rsidRPr="00466700">
        <w:rPr>
          <w:rFonts w:eastAsia="MS Mincho"/>
          <w:bCs/>
          <w:i/>
          <w:lang w:val="fr-FR" w:eastAsia="ja-JP" w:bidi="sa-IN"/>
        </w:rPr>
        <w:t>Lors de la manifestation du 20 octobre 2022, 80 mineurs ont été arrêtés et détenus.</w:t>
      </w:r>
    </w:p>
    <w:p w14:paraId="264E4371" w14:textId="52896B1A" w:rsidR="00466700" w:rsidRPr="00466700" w:rsidRDefault="00466700" w:rsidP="00466700">
      <w:pPr>
        <w:spacing w:after="160" w:line="259" w:lineRule="auto"/>
        <w:jc w:val="both"/>
        <w:rPr>
          <w:i/>
          <w:lang w:val="fr-FR"/>
        </w:rPr>
      </w:pPr>
      <w:r w:rsidRPr="00466700">
        <w:rPr>
          <w:lang w:val="fr-FR"/>
        </w:rPr>
        <w:t xml:space="preserve">En outre, </w:t>
      </w:r>
      <w:r>
        <w:t>l</w:t>
      </w:r>
      <w:r>
        <w:t>ors d’une mission d’observation menée par la LTDH au</w:t>
      </w:r>
      <w:r>
        <w:t xml:space="preserve"> </w:t>
      </w:r>
      <w:r>
        <w:t xml:space="preserve">cours des mois de novembre et décembre 2025, il a été documenté qu’au moins 238 enfants </w:t>
      </w:r>
      <w:r>
        <w:t xml:space="preserve">privés de liberté </w:t>
      </w:r>
      <w:r>
        <w:t>ont été victimes de graves violations de leurs droits, notamment des détentions arbitraires et des séquestrations.</w:t>
      </w:r>
      <w:r>
        <w:br/>
        <w:t xml:space="preserve">Ces violations ont été constatées dans plusieurs lieux de détention et sites non officiels situés dans les villes de </w:t>
      </w:r>
      <w:proofErr w:type="spellStart"/>
      <w:r>
        <w:t>Fianga</w:t>
      </w:r>
      <w:proofErr w:type="spellEnd"/>
      <w:r>
        <w:t xml:space="preserve">, </w:t>
      </w:r>
      <w:proofErr w:type="spellStart"/>
      <w:r>
        <w:t>Kélo</w:t>
      </w:r>
      <w:proofErr w:type="spellEnd"/>
      <w:r>
        <w:t xml:space="preserve">, Bol, </w:t>
      </w:r>
      <w:proofErr w:type="spellStart"/>
      <w:r>
        <w:t>Mandelia</w:t>
      </w:r>
      <w:proofErr w:type="spellEnd"/>
      <w:r>
        <w:t xml:space="preserve"> et N’Djamena.</w:t>
      </w:r>
    </w:p>
    <w:p w14:paraId="4C88848E" w14:textId="50A4BBB0" w:rsidR="00F0199C" w:rsidRPr="00A013EE" w:rsidRDefault="00F0199C" w:rsidP="00466700">
      <w:pPr>
        <w:pStyle w:val="ListParagraph"/>
        <w:spacing w:after="160" w:line="259" w:lineRule="auto"/>
        <w:jc w:val="both"/>
        <w:rPr>
          <w:i/>
          <w:lang w:val="fr-FR"/>
        </w:rPr>
      </w:pPr>
    </w:p>
    <w:tbl>
      <w:tblPr>
        <w:tblStyle w:val="TableGrid"/>
        <w:tblW w:w="0" w:type="auto"/>
        <w:tblLook w:val="04A0" w:firstRow="1" w:lastRow="0" w:firstColumn="1" w:lastColumn="0" w:noHBand="0" w:noVBand="1"/>
      </w:tblPr>
      <w:tblGrid>
        <w:gridCol w:w="9062"/>
      </w:tblGrid>
      <w:tr w:rsidR="0042372D" w14:paraId="63C93837" w14:textId="77777777" w:rsidTr="0042372D">
        <w:tc>
          <w:tcPr>
            <w:tcW w:w="9062" w:type="dxa"/>
          </w:tcPr>
          <w:p w14:paraId="2E87A393" w14:textId="77777777" w:rsidR="0042372D" w:rsidRDefault="0042372D" w:rsidP="00A013EE">
            <w:pPr>
              <w:spacing w:before="100" w:beforeAutospacing="1" w:after="100" w:afterAutospacing="1"/>
              <w:jc w:val="both"/>
              <w:rPr>
                <w:b/>
                <w:bCs/>
              </w:rPr>
            </w:pPr>
            <w:r w:rsidRPr="00466700">
              <w:rPr>
                <w:b/>
                <w:bCs/>
              </w:rPr>
              <w:t>Recommandations :</w:t>
            </w:r>
          </w:p>
          <w:p w14:paraId="5636392A" w14:textId="25D52478" w:rsidR="00006882" w:rsidRDefault="00006882" w:rsidP="0042196C">
            <w:pPr>
              <w:pStyle w:val="ListParagraph"/>
              <w:numPr>
                <w:ilvl w:val="0"/>
                <w:numId w:val="41"/>
              </w:numPr>
              <w:spacing w:before="100" w:beforeAutospacing="1" w:after="100" w:afterAutospacing="1"/>
              <w:jc w:val="both"/>
            </w:pPr>
            <w:r>
              <w:t xml:space="preserve">Garantir que </w:t>
            </w:r>
            <w:r w:rsidRPr="00006882">
              <w:rPr>
                <w:rStyle w:val="Strong"/>
                <w:rFonts w:eastAsiaTheme="majorEastAsia"/>
                <w:b w:val="0"/>
                <w:bCs w:val="0"/>
              </w:rPr>
              <w:t>nul enfant ne soit soumis à une arrestation ou à une détention arbitraire</w:t>
            </w:r>
            <w:r w:rsidRPr="00006882">
              <w:rPr>
                <w:b/>
                <w:bCs/>
              </w:rPr>
              <w:t xml:space="preserve">, </w:t>
            </w:r>
            <w:r w:rsidRPr="00006882">
              <w:t>et que toute privation de liberté soit conforme aux principes de légalité, de nécessité et de proportionnalité</w:t>
            </w:r>
            <w:r w:rsidRPr="00006882">
              <w:t> ;</w:t>
            </w:r>
          </w:p>
          <w:p w14:paraId="6448BA5A" w14:textId="664A94AA" w:rsidR="0042196C" w:rsidRPr="00006882" w:rsidRDefault="00006882" w:rsidP="0042196C">
            <w:pPr>
              <w:pStyle w:val="ListParagraph"/>
              <w:numPr>
                <w:ilvl w:val="0"/>
                <w:numId w:val="41"/>
              </w:numPr>
              <w:spacing w:before="100" w:beforeAutospacing="1" w:after="100" w:afterAutospacing="1"/>
              <w:jc w:val="both"/>
            </w:pPr>
            <w:r w:rsidRPr="00006882">
              <w:t>Mettre en place un mécanisme national de suivi et de contrôle des enfants privés de liberté dans tous les lieux de détention</w:t>
            </w:r>
            <w:r>
              <w:t>, y compris non officiels</w:t>
            </w:r>
            <w:r w:rsidRPr="00006882">
              <w:t xml:space="preserve"> ;</w:t>
            </w:r>
          </w:p>
          <w:p w14:paraId="4F2D348C" w14:textId="7CE4C7C9" w:rsidR="00006882" w:rsidRPr="0042196C" w:rsidRDefault="00006882" w:rsidP="0042196C">
            <w:pPr>
              <w:pStyle w:val="ListParagraph"/>
              <w:numPr>
                <w:ilvl w:val="0"/>
                <w:numId w:val="41"/>
              </w:numPr>
              <w:spacing w:before="100" w:beforeAutospacing="1" w:after="100" w:afterAutospacing="1"/>
              <w:jc w:val="both"/>
              <w:rPr>
                <w:b/>
                <w:bCs/>
              </w:rPr>
            </w:pPr>
            <w:r>
              <w:t>Renforcer la justice juvénile et garantir une prise en charge spécialisée des enfants victimes de violations graves des droits humains</w:t>
            </w:r>
            <w:r>
              <w:t>.</w:t>
            </w:r>
          </w:p>
          <w:p w14:paraId="3B205E2A" w14:textId="58A4E976" w:rsidR="0042372D" w:rsidRDefault="0042372D" w:rsidP="00A013EE">
            <w:pPr>
              <w:spacing w:before="100" w:beforeAutospacing="1" w:after="100" w:afterAutospacing="1"/>
              <w:jc w:val="both"/>
              <w:rPr>
                <w:b/>
                <w:bCs/>
              </w:rPr>
            </w:pPr>
          </w:p>
        </w:tc>
      </w:tr>
    </w:tbl>
    <w:p w14:paraId="3FFB0550" w14:textId="77777777" w:rsidR="00D03A1B" w:rsidRDefault="00D03A1B" w:rsidP="00A013EE">
      <w:pPr>
        <w:spacing w:before="100" w:beforeAutospacing="1" w:after="100" w:afterAutospacing="1"/>
        <w:jc w:val="both"/>
        <w:rPr>
          <w:b/>
          <w:bCs/>
        </w:rPr>
      </w:pPr>
    </w:p>
    <w:p w14:paraId="044389ED" w14:textId="77777777" w:rsidR="00AF67E7" w:rsidRDefault="00AF67E7" w:rsidP="00A013EE">
      <w:pPr>
        <w:spacing w:before="100" w:beforeAutospacing="1" w:after="100" w:afterAutospacing="1"/>
        <w:jc w:val="both"/>
        <w:rPr>
          <w:b/>
          <w:bCs/>
        </w:rPr>
      </w:pPr>
    </w:p>
    <w:p w14:paraId="1A1FF2E5" w14:textId="77777777" w:rsidR="00373724" w:rsidRPr="00824089" w:rsidRDefault="00373724" w:rsidP="00A013EE">
      <w:pPr>
        <w:spacing w:before="100" w:beforeAutospacing="1" w:after="100" w:afterAutospacing="1"/>
        <w:jc w:val="both"/>
        <w:rPr>
          <w:b/>
          <w:bCs/>
        </w:rPr>
      </w:pPr>
    </w:p>
    <w:p w14:paraId="0BE73568" w14:textId="4EC03D43" w:rsidR="00B04E24" w:rsidRPr="00264799" w:rsidRDefault="00B04E24" w:rsidP="00264799">
      <w:pPr>
        <w:spacing w:before="100" w:beforeAutospacing="1" w:after="100" w:afterAutospacing="1" w:line="276" w:lineRule="auto"/>
      </w:pPr>
      <w:r w:rsidRPr="00264799">
        <w:rPr>
          <w:b/>
          <w:bCs/>
        </w:rPr>
        <w:lastRenderedPageBreak/>
        <w:t>Conclusion</w:t>
      </w:r>
    </w:p>
    <w:p w14:paraId="08FE275C" w14:textId="03C8ADAD" w:rsidR="00221449" w:rsidRDefault="00A73CD5" w:rsidP="00264799">
      <w:pPr>
        <w:spacing w:line="276" w:lineRule="auto"/>
        <w:jc w:val="both"/>
      </w:pPr>
      <w:r w:rsidRPr="00B12A60">
        <w:t xml:space="preserve">Malgré </w:t>
      </w:r>
      <w:r>
        <w:t>certains efforts</w:t>
      </w:r>
      <w:r w:rsidRPr="00B12A60">
        <w:t xml:space="preserve"> </w:t>
      </w:r>
      <w:r>
        <w:t>entre</w:t>
      </w:r>
      <w:r w:rsidRPr="00B12A60">
        <w:t xml:space="preserve">pris par le </w:t>
      </w:r>
      <w:r>
        <w:t>Tchad</w:t>
      </w:r>
      <w:r w:rsidR="00591225">
        <w:t xml:space="preserve"> dans certains domaines</w:t>
      </w:r>
      <w:r w:rsidR="00763DDB">
        <w:t>,</w:t>
      </w:r>
      <w:r w:rsidR="006D0FB8">
        <w:t xml:space="preserve"> notamment pour lutter contre la surpopulation carcérale</w:t>
      </w:r>
      <w:r w:rsidR="005F234D">
        <w:t xml:space="preserve"> ces dernières années</w:t>
      </w:r>
      <w:r w:rsidRPr="00B12A60">
        <w:t xml:space="preserve">, </w:t>
      </w:r>
      <w:r>
        <w:t xml:space="preserve">la mise en œuvre </w:t>
      </w:r>
      <w:r w:rsidR="00222D18">
        <w:t>des</w:t>
      </w:r>
      <w:r w:rsidR="00D16A90">
        <w:t xml:space="preserve"> </w:t>
      </w:r>
      <w:r w:rsidR="005F234D">
        <w:t xml:space="preserve">obligations de l’État au titre du PIDCP </w:t>
      </w:r>
      <w:r w:rsidR="00222D18">
        <w:t>reste largement déficiente</w:t>
      </w:r>
      <w:r w:rsidRPr="00B12A60">
        <w:t>.</w:t>
      </w:r>
      <w:r w:rsidR="00894D3B">
        <w:t xml:space="preserve"> </w:t>
      </w:r>
      <w:r w:rsidR="00222D18">
        <w:t xml:space="preserve">L'absence de mesures concrètes et effectives de la part des autorités en </w:t>
      </w:r>
      <w:r w:rsidR="006E5896">
        <w:t>ce qui concerne notamment la reddition des comptes concernant les</w:t>
      </w:r>
      <w:r w:rsidR="00222D18">
        <w:t xml:space="preserve"> évènements du 20 octobre 2022</w:t>
      </w:r>
      <w:r w:rsidR="00120E76">
        <w:t xml:space="preserve"> et l’adoption d’une loi </w:t>
      </w:r>
      <w:r w:rsidR="00F3653B">
        <w:t xml:space="preserve">générale </w:t>
      </w:r>
      <w:r w:rsidR="00120E76">
        <w:t>d’amnistie</w:t>
      </w:r>
      <w:r w:rsidR="006E5896">
        <w:t xml:space="preserve"> </w:t>
      </w:r>
      <w:r w:rsidR="00222D18">
        <w:t xml:space="preserve">favorise un climat d’impunité et constitue un manquement manifeste aux obligations internationales qui incombent à l'État tchadien en vertu </w:t>
      </w:r>
      <w:r w:rsidR="005F234D">
        <w:t xml:space="preserve">du PIDCP et </w:t>
      </w:r>
      <w:r w:rsidR="00222D18">
        <w:t xml:space="preserve">de la Convention contre la torture et autres peines ou traitements cruels, inhumains ou dégradants. </w:t>
      </w:r>
      <w:r w:rsidR="00EC576A">
        <w:t xml:space="preserve">Par ailleurs, le ciblage persistant d’opposants politiques et d’acteurs de la société civile, conjugué au rétrécissement continu de l’espace civique, témoigne d’un climat de répression incompatible avec les </w:t>
      </w:r>
      <w:r w:rsidR="00222D18">
        <w:t>obligations conventionnelles</w:t>
      </w:r>
      <w:r w:rsidR="00EC576A">
        <w:t xml:space="preserve"> du Tchad.</w:t>
      </w:r>
    </w:p>
    <w:p w14:paraId="1EA22CCF" w14:textId="77777777" w:rsidR="00F27313" w:rsidRDefault="00F27313" w:rsidP="00264799">
      <w:pPr>
        <w:spacing w:line="276" w:lineRule="auto"/>
        <w:jc w:val="both"/>
      </w:pPr>
    </w:p>
    <w:p w14:paraId="571204F7" w14:textId="0376182C" w:rsidR="00F27313" w:rsidRPr="00F021D1" w:rsidRDefault="00F27313" w:rsidP="00264799">
      <w:pPr>
        <w:spacing w:line="276" w:lineRule="auto"/>
        <w:jc w:val="both"/>
        <w:rPr>
          <w:color w:val="000000" w:themeColor="text1"/>
        </w:rPr>
      </w:pPr>
      <w:r w:rsidRPr="00F021D1">
        <w:rPr>
          <w:color w:val="000000" w:themeColor="text1"/>
        </w:rPr>
        <w:t>En conséquence, le Tchad demeure confronté à un déficit structurel de gouvernance des droits humains, où l’impunité, la vulnérabilité des populations et la répression politique limitent fortement la réalisation des obligations conventionnelles de l’État. Ces lacunes mettent en évidence la nécessité urgente de réformes institutionnelles, de mécanismes indépendants de contrôle et d’une volonté politique effective pour garantir la justice, la protection et la dignité de toutes et tous.</w:t>
      </w:r>
    </w:p>
    <w:sectPr w:rsidR="00F27313" w:rsidRPr="00F021D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69A8" w14:textId="77777777" w:rsidR="00631CDF" w:rsidRDefault="00631CDF" w:rsidP="003F2AC0">
      <w:r>
        <w:separator/>
      </w:r>
    </w:p>
  </w:endnote>
  <w:endnote w:type="continuationSeparator" w:id="0">
    <w:p w14:paraId="578319EE" w14:textId="77777777" w:rsidR="00631CDF" w:rsidRDefault="00631CDF" w:rsidP="003F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0727148"/>
      <w:docPartObj>
        <w:docPartGallery w:val="Page Numbers (Bottom of Page)"/>
        <w:docPartUnique/>
      </w:docPartObj>
    </w:sdtPr>
    <w:sdtContent>
      <w:p w14:paraId="218E3240" w14:textId="6633CE0E" w:rsidR="00EF7F6B" w:rsidRDefault="00EF7F6B" w:rsidP="002647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2CF1DC" w14:textId="77777777" w:rsidR="00EF7F6B" w:rsidRDefault="00EF7F6B" w:rsidP="002647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3651751"/>
      <w:docPartObj>
        <w:docPartGallery w:val="Page Numbers (Bottom of Page)"/>
        <w:docPartUnique/>
      </w:docPartObj>
    </w:sdtPr>
    <w:sdtContent>
      <w:p w14:paraId="5D9D3BC0" w14:textId="310A792F" w:rsidR="00EF7F6B" w:rsidRDefault="00EF7F6B" w:rsidP="002647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75671DEC" w14:textId="77777777" w:rsidR="00556D55" w:rsidRDefault="00556D55" w:rsidP="002647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919E" w14:textId="77777777" w:rsidR="00631CDF" w:rsidRDefault="00631CDF" w:rsidP="003F2AC0">
      <w:r>
        <w:separator/>
      </w:r>
    </w:p>
  </w:footnote>
  <w:footnote w:type="continuationSeparator" w:id="0">
    <w:p w14:paraId="4B449AAA" w14:textId="77777777" w:rsidR="00631CDF" w:rsidRDefault="00631CDF" w:rsidP="003F2AC0">
      <w:r>
        <w:continuationSeparator/>
      </w:r>
    </w:p>
  </w:footnote>
  <w:footnote w:id="1">
    <w:p w14:paraId="13A9F5E5" w14:textId="77777777" w:rsidR="00644F1A" w:rsidRDefault="00644F1A" w:rsidP="00644F1A">
      <w:pPr>
        <w:pBdr>
          <w:top w:val="nil"/>
          <w:left w:val="nil"/>
          <w:bottom w:val="nil"/>
          <w:right w:val="nil"/>
          <w:between w:val="nil"/>
        </w:pBdr>
        <w:rPr>
          <w:color w:val="000000"/>
          <w:sz w:val="20"/>
          <w:szCs w:val="20"/>
        </w:rPr>
      </w:pPr>
      <w:r>
        <w:rPr>
          <w:vertAlign w:val="superscript"/>
        </w:rPr>
        <w:footnoteRef/>
      </w:r>
      <w:r>
        <w:rPr>
          <w:rFonts w:ascii="Aptos" w:eastAsia="Aptos" w:hAnsi="Aptos" w:cs="Aptos"/>
          <w:color w:val="000000"/>
          <w:sz w:val="20"/>
          <w:szCs w:val="20"/>
        </w:rPr>
        <w:t xml:space="preserve"> </w:t>
      </w:r>
      <w:hyperlink r:id="rId1">
        <w:r>
          <w:rPr>
            <w:color w:val="467886"/>
            <w:sz w:val="20"/>
            <w:szCs w:val="20"/>
            <w:u w:val="single"/>
          </w:rPr>
          <w:t>https://www.omct.org/fr/ressources/declarations/tchad-les-actes-doivent-accompagner-les-promesses-de-lutter-contre-la-torture</w:t>
        </w:r>
      </w:hyperlink>
      <w:r>
        <w:rPr>
          <w:color w:val="000000"/>
          <w:sz w:val="20"/>
          <w:szCs w:val="20"/>
        </w:rPr>
        <w:t xml:space="preserve"> </w:t>
      </w:r>
    </w:p>
  </w:footnote>
  <w:footnote w:id="2">
    <w:p w14:paraId="42963458" w14:textId="77777777" w:rsidR="001A4F5C" w:rsidRDefault="001A4F5C" w:rsidP="001A4F5C">
      <w:pPr>
        <w:pBdr>
          <w:top w:val="nil"/>
          <w:left w:val="nil"/>
          <w:bottom w:val="nil"/>
          <w:right w:val="nil"/>
          <w:between w:val="nil"/>
        </w:pBdr>
        <w:rPr>
          <w:color w:val="000000"/>
          <w:sz w:val="20"/>
          <w:szCs w:val="20"/>
        </w:rPr>
      </w:pPr>
      <w:r>
        <w:rPr>
          <w:vertAlign w:val="superscript"/>
        </w:rPr>
        <w:footnoteRef/>
      </w:r>
      <w:r>
        <w:rPr>
          <w:rFonts w:ascii="Aptos" w:eastAsia="Aptos" w:hAnsi="Aptos" w:cs="Aptos"/>
          <w:color w:val="000000"/>
          <w:sz w:val="20"/>
          <w:szCs w:val="20"/>
        </w:rPr>
        <w:t xml:space="preserve"> </w:t>
      </w:r>
      <w:r>
        <w:rPr>
          <w:color w:val="000000"/>
          <w:sz w:val="20"/>
          <w:szCs w:val="20"/>
        </w:rPr>
        <w:t xml:space="preserve">Troisième rapport périodique du Tchad devant le Comité des droits de l’Homme, para. 44. </w:t>
      </w:r>
    </w:p>
  </w:footnote>
  <w:footnote w:id="3">
    <w:p w14:paraId="2FFA4773" w14:textId="1E6B1E40" w:rsidR="00FE02B4" w:rsidRDefault="00FE02B4">
      <w:pPr>
        <w:pStyle w:val="FootnoteText"/>
      </w:pPr>
      <w:r>
        <w:rPr>
          <w:rStyle w:val="FootnoteReference"/>
        </w:rPr>
        <w:footnoteRef/>
      </w:r>
      <w:r>
        <w:t xml:space="preserve"> </w:t>
      </w:r>
      <w:hyperlink r:id="rId2" w:history="1">
        <w:r w:rsidRPr="004728FB">
          <w:rPr>
            <w:rStyle w:val="Hyperlink"/>
          </w:rPr>
          <w:t>https://www.omct.org/fr/ressources/declarations/chad-concerns-over-the-creation-of-a-commission-to-reinstate-the-death-penalty</w:t>
        </w:r>
      </w:hyperlink>
      <w:r>
        <w:t xml:space="preserve"> </w:t>
      </w:r>
    </w:p>
  </w:footnote>
  <w:footnote w:id="4">
    <w:p w14:paraId="69A25EB1" w14:textId="6655A9A0" w:rsidR="00AF7CB4" w:rsidRDefault="00AF7CB4">
      <w:pPr>
        <w:pStyle w:val="FootnoteText"/>
      </w:pPr>
      <w:r>
        <w:rPr>
          <w:rStyle w:val="FootnoteReference"/>
        </w:rPr>
        <w:footnoteRef/>
      </w:r>
      <w:r>
        <w:t xml:space="preserve"> </w:t>
      </w:r>
      <w:hyperlink r:id="rId3" w:history="1">
        <w:r w:rsidRPr="00591A50">
          <w:rPr>
            <w:rStyle w:val="Hyperlink"/>
          </w:rPr>
          <w:t>https://tchadinfos.com/2025/08/29/la-cndh-demande-au-gouvernement-de-ne-pas-retablir-la-peine-de-mort/?fbclid=IwY2xjawPm2wVleHRuA2FlbQIxMABicmlkETB4MlRId0NzRHBSeEZFU3Jrc3J0YwZhcHBfaWQQMjIyMDM5MTc4ODIwMDg5MgABHvm28vCU7JEsiQVa1gMsIQlVCjK5GIW8q7EpooWB4mbnGgU5PxagG4bj8wY3_aem_-Pej929bVPUkVhb84d5fbg</w:t>
        </w:r>
      </w:hyperlink>
      <w:r>
        <w:t xml:space="preserve"> </w:t>
      </w:r>
    </w:p>
  </w:footnote>
  <w:footnote w:id="5">
    <w:p w14:paraId="7FFB8BF8" w14:textId="3E39DD7D" w:rsidR="00B32AD0" w:rsidRDefault="00B32AD0">
      <w:pPr>
        <w:pStyle w:val="FootnoteText"/>
      </w:pPr>
      <w:r>
        <w:rPr>
          <w:rStyle w:val="FootnoteReference"/>
        </w:rPr>
        <w:footnoteRef/>
      </w:r>
      <w:r>
        <w:t xml:space="preserve"> </w:t>
      </w:r>
      <w:r w:rsidRPr="00B32AD0">
        <w:t>https://tchadvision.com/11-citoyens-pretendument-pendus-par-des-militaires-au-lac-selon-la-ltdh/</w:t>
      </w:r>
    </w:p>
  </w:footnote>
  <w:footnote w:id="6">
    <w:p w14:paraId="029E723D" w14:textId="77777777" w:rsidR="0053706A" w:rsidRDefault="0053706A" w:rsidP="0053706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Décret no 413/ PR / PM/MSPI /2016 du 15 juin 2016 portant Code de déontologie de la Police nationale.</w:t>
      </w:r>
    </w:p>
  </w:footnote>
  <w:footnote w:id="7">
    <w:p w14:paraId="13914D2E" w14:textId="77777777" w:rsidR="0053706A" w:rsidRDefault="0053706A" w:rsidP="0053706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Comité contre la torture, Observations finales concernant le deuxième rapport périodique du Tchad, CAT/C/TCD/CO/2, 7 décembre 2022, §8-9.</w:t>
      </w:r>
    </w:p>
  </w:footnote>
  <w:footnote w:id="8">
    <w:p w14:paraId="484A87F9" w14:textId="77777777" w:rsidR="0053706A" w:rsidRDefault="0053706A" w:rsidP="0053706A">
      <w:pPr>
        <w:jc w:val="both"/>
        <w:rPr>
          <w:color w:val="000000"/>
        </w:rPr>
      </w:pPr>
      <w:r>
        <w:rPr>
          <w:vertAlign w:val="superscript"/>
        </w:rPr>
        <w:footnoteRef/>
      </w:r>
      <w:r>
        <w:t xml:space="preserve"> </w:t>
      </w:r>
      <w:r>
        <w:rPr>
          <w:color w:val="000000"/>
          <w:sz w:val="20"/>
          <w:szCs w:val="20"/>
        </w:rPr>
        <w:t>« </w:t>
      </w:r>
      <w:r>
        <w:rPr>
          <w:i/>
          <w:color w:val="000000"/>
          <w:sz w:val="20"/>
          <w:szCs w:val="20"/>
        </w:rPr>
        <w:t>Jeudi noir : ils ont enlevé trois de mes fils, rapport d’enquête sur la répression sanglante des manifestations du 20 octobre 2022 au Tchad</w:t>
      </w:r>
      <w:r>
        <w:rPr>
          <w:color w:val="000000"/>
          <w:sz w:val="20"/>
          <w:szCs w:val="20"/>
        </w:rPr>
        <w:t xml:space="preserve"> », avril 2023. Accessible à : </w:t>
      </w:r>
      <w:hyperlink r:id="rId4">
        <w:r>
          <w:rPr>
            <w:color w:val="467886"/>
            <w:sz w:val="20"/>
            <w:szCs w:val="20"/>
            <w:u w:val="single"/>
          </w:rPr>
          <w:t>https://www.omct.org/site-resources/legacy/RAPPORT-%C2%AB-Ils-ont-enlev%C3%A9-trois-de-mes-fils-%C2%BB-TCHAD-OMCT.pdf</w:t>
        </w:r>
      </w:hyperlink>
    </w:p>
  </w:footnote>
  <w:footnote w:id="9">
    <w:p w14:paraId="3468B243" w14:textId="77777777" w:rsidR="0040350F" w:rsidRDefault="0040350F" w:rsidP="0040350F">
      <w:pPr>
        <w:pStyle w:val="FootnoteText"/>
      </w:pPr>
      <w:r>
        <w:rPr>
          <w:rStyle w:val="FootnoteReference"/>
        </w:rPr>
        <w:footnoteRef/>
      </w:r>
      <w:r>
        <w:t xml:space="preserve"> </w:t>
      </w:r>
      <w:hyperlink r:id="rId5" w:history="1">
        <w:r w:rsidRPr="006E5E40">
          <w:rPr>
            <w:rStyle w:val="Hyperlink"/>
          </w:rPr>
          <w:t>https://www.omct.org/fr/ressources/declarations/tchad-les-actes-doivent-accompagner-les-promesses-de-lutter-contre-la-torture</w:t>
        </w:r>
      </w:hyperlink>
      <w:r>
        <w:t xml:space="preserve"> </w:t>
      </w:r>
    </w:p>
  </w:footnote>
  <w:footnote w:id="10">
    <w:p w14:paraId="213E7B64" w14:textId="71967B19" w:rsidR="00C86A06" w:rsidRDefault="00C86A06" w:rsidP="00A71569">
      <w:pPr>
        <w:pStyle w:val="FootnoteText"/>
        <w:jc w:val="both"/>
      </w:pPr>
      <w:r>
        <w:rPr>
          <w:rStyle w:val="FootnoteReference"/>
        </w:rPr>
        <w:footnoteRef/>
      </w:r>
      <w:r>
        <w:t xml:space="preserve"> CEEAC, Communiqué final du 25 février 2023, paras 9-10. Accessible à </w:t>
      </w:r>
      <w:hyperlink r:id="rId6" w:history="1">
        <w:r w:rsidRPr="00591A50">
          <w:rPr>
            <w:rStyle w:val="Hyperlink"/>
          </w:rPr>
          <w:t>https://www.ceeac-eccas.org/wp-content/uploads/2023/03/Pour-diffusion-sur-le-site-CEEAC-Communique-final-de-la-XXIIe-CCEG-de-la-CEEAC.pdf</w:t>
        </w:r>
      </w:hyperlink>
      <w:r>
        <w:t xml:space="preserve"> </w:t>
      </w:r>
    </w:p>
  </w:footnote>
  <w:footnote w:id="11">
    <w:p w14:paraId="3A3C369B" w14:textId="62261649" w:rsidR="00E44903" w:rsidRDefault="00E44903">
      <w:pPr>
        <w:pStyle w:val="FootnoteText"/>
      </w:pPr>
      <w:r>
        <w:rPr>
          <w:rStyle w:val="FootnoteReference"/>
        </w:rPr>
        <w:footnoteRef/>
      </w:r>
      <w:r>
        <w:t xml:space="preserve"> </w:t>
      </w:r>
      <w:hyperlink r:id="rId7" w:history="1">
        <w:r w:rsidRPr="00591A50">
          <w:rPr>
            <w:rStyle w:val="Hyperlink"/>
          </w:rPr>
          <w:t>https://www.omct.org/fr/ressources/declarations/tchad-les-actes-doivent-accompagner-les-promesses-de-lutter-contre-la-torture</w:t>
        </w:r>
      </w:hyperlink>
      <w:r>
        <w:t xml:space="preserve"> </w:t>
      </w:r>
    </w:p>
  </w:footnote>
  <w:footnote w:id="12">
    <w:p w14:paraId="630D42F9" w14:textId="264FCD71" w:rsidR="00CF6609" w:rsidRDefault="00CF6609">
      <w:pPr>
        <w:pStyle w:val="FootnoteText"/>
      </w:pPr>
      <w:r>
        <w:rPr>
          <w:rStyle w:val="FootnoteReference"/>
        </w:rPr>
        <w:footnoteRef/>
      </w:r>
      <w:r>
        <w:t xml:space="preserve"> </w:t>
      </w:r>
      <w:r w:rsidRPr="00CF6609">
        <w:t>https://tchadinfos.com/2024/11/16/tchad-liberation-des-banquiers-ismael-ngakoutou-et-bichara-kossi/</w:t>
      </w:r>
    </w:p>
  </w:footnote>
  <w:footnote w:id="13">
    <w:p w14:paraId="1FD6EEE6" w14:textId="29BA9688" w:rsidR="008E1A4E" w:rsidRDefault="008E1A4E">
      <w:pPr>
        <w:pStyle w:val="FootnoteText"/>
      </w:pPr>
      <w:r>
        <w:rPr>
          <w:rStyle w:val="FootnoteReference"/>
        </w:rPr>
        <w:footnoteRef/>
      </w:r>
      <w:r>
        <w:t xml:space="preserve"> </w:t>
      </w:r>
      <w:proofErr w:type="gramStart"/>
      <w:r w:rsidRPr="008E1A4E">
        <w:t>https://achpr.au.int/fr/intersession-activity-reports/groupe-de-travail-sur-la-peine-de-mort-les-executions-1?</w:t>
      </w:r>
      <w:proofErr w:type="gramEnd"/>
    </w:p>
  </w:footnote>
  <w:footnote w:id="14">
    <w:p w14:paraId="6556620D" w14:textId="1D664566" w:rsidR="00C45486" w:rsidRDefault="00C45486">
      <w:pPr>
        <w:pStyle w:val="FootnoteText"/>
      </w:pPr>
      <w:r>
        <w:rPr>
          <w:rStyle w:val="FootnoteReference"/>
        </w:rPr>
        <w:footnoteRef/>
      </w:r>
      <w:r>
        <w:t xml:space="preserve"> </w:t>
      </w:r>
      <w:proofErr w:type="gramStart"/>
      <w:r w:rsidRPr="00C45486">
        <w:t>https://peacemaker.un.org/en/node/10037?</w:t>
      </w:r>
      <w:proofErr w:type="gramEnd"/>
    </w:p>
  </w:footnote>
  <w:footnote w:id="15">
    <w:p w14:paraId="6A8A74AB" w14:textId="6BD0315C" w:rsidR="00E660C6" w:rsidRDefault="00E660C6" w:rsidP="00E660C6">
      <w:pPr>
        <w:pStyle w:val="FootnoteText"/>
      </w:pPr>
      <w:r>
        <w:rPr>
          <w:rStyle w:val="FootnoteReference"/>
        </w:rPr>
        <w:footnoteRef/>
      </w:r>
      <w:r>
        <w:t xml:space="preserve"> </w:t>
      </w:r>
      <w:r w:rsidR="00A71569">
        <w:rPr>
          <w:color w:val="000000"/>
        </w:rPr>
        <w:t>« </w:t>
      </w:r>
      <w:r w:rsidR="00A71569">
        <w:rPr>
          <w:i/>
          <w:color w:val="000000"/>
        </w:rPr>
        <w:t>Jeudi noir : ils ont enlevé trois de mes fils, rapport d’enquête sur la répression sanglante des manifestations du 20 octobre 2022 au Tchad</w:t>
      </w:r>
      <w:r w:rsidR="00A71569">
        <w:rPr>
          <w:color w:val="000000"/>
        </w:rPr>
        <w:t xml:space="preserve"> », avril 2023. Accessible à : </w:t>
      </w:r>
      <w:hyperlink r:id="rId8">
        <w:r w:rsidR="00A71569">
          <w:rPr>
            <w:color w:val="467886"/>
            <w:u w:val="single"/>
          </w:rPr>
          <w:t>https://www.omct.org/site-resources/legacy/RAPPORT-%C2%AB-Ils-ont-enlev%C3%A9-trois-de-mes-fils-%C2%BB-TCHAD-OMCT.pdf</w:t>
        </w:r>
      </w:hyperlink>
    </w:p>
  </w:footnote>
  <w:footnote w:id="16">
    <w:p w14:paraId="5CAABF01" w14:textId="0B03286E" w:rsidR="00E660C6" w:rsidRPr="00BB1BFD" w:rsidRDefault="00E660C6" w:rsidP="00E660C6">
      <w:pPr>
        <w:pStyle w:val="FootnoteText"/>
      </w:pPr>
      <w:r>
        <w:rPr>
          <w:rStyle w:val="FootnoteReference"/>
        </w:rPr>
        <w:footnoteRef/>
      </w:r>
      <w:r w:rsidRPr="00BB1BFD">
        <w:t xml:space="preserve"> Human </w:t>
      </w:r>
      <w:proofErr w:type="spellStart"/>
      <w:r w:rsidRPr="00BB1BFD">
        <w:t>Rights</w:t>
      </w:r>
      <w:proofErr w:type="spellEnd"/>
      <w:r w:rsidRPr="00BB1BFD">
        <w:t xml:space="preserve"> Watch, </w:t>
      </w:r>
      <w:r w:rsidRPr="0024207E">
        <w:t>“</w:t>
      </w:r>
      <w:r>
        <w:t>P</w:t>
      </w:r>
      <w:r w:rsidRPr="0024207E">
        <w:t xml:space="preserve">ire que </w:t>
      </w:r>
      <w:proofErr w:type="gramStart"/>
      <w:r w:rsidRPr="0024207E">
        <w:t>l’enfer:</w:t>
      </w:r>
      <w:proofErr w:type="gramEnd"/>
      <w:r w:rsidRPr="0024207E">
        <w:t xml:space="preserve"> mort et torture à la prison de Koro Toro au Tchad”</w:t>
      </w:r>
      <w:r>
        <w:t xml:space="preserve">, 6 août 2024. Accessible à : </w:t>
      </w:r>
      <w:hyperlink r:id="rId9" w:history="1">
        <w:r w:rsidR="00A71569" w:rsidRPr="00591A50">
          <w:rPr>
            <w:rStyle w:val="Hyperlink"/>
          </w:rPr>
          <w:t>https://www.hrw.org/fr/report/2024/08/06/pire-que-lenfer/mort-et-torture-la-prison-de-koro-toro-au-tchad</w:t>
        </w:r>
      </w:hyperlink>
      <w:r w:rsidR="00A71569">
        <w:t xml:space="preserve"> </w:t>
      </w:r>
    </w:p>
  </w:footnote>
  <w:footnote w:id="17">
    <w:p w14:paraId="5D2351BC" w14:textId="77777777" w:rsidR="00442528" w:rsidRDefault="00442528" w:rsidP="00442528">
      <w:pPr>
        <w:pStyle w:val="FootnoteText"/>
      </w:pPr>
      <w:r>
        <w:rPr>
          <w:rStyle w:val="FootnoteReference"/>
        </w:rPr>
        <w:footnoteRef/>
      </w:r>
      <w:r>
        <w:t xml:space="preserve"> </w:t>
      </w:r>
      <w:hyperlink r:id="rId10" w:history="1">
        <w:r w:rsidRPr="006E5E40">
          <w:rPr>
            <w:rStyle w:val="Hyperlink"/>
          </w:rPr>
          <w:t>https://www.rfi.fr/fr/afrique/20250604-tchad-l-opposant-robert-gam-lib%C3%A9r%C3%A9-apr%C3%A8s-plus-de-huit-mois-de-d%C3%A9tention</w:t>
        </w:r>
      </w:hyperlink>
      <w:r>
        <w:t xml:space="preserve"> </w:t>
      </w:r>
    </w:p>
  </w:footnote>
  <w:footnote w:id="18">
    <w:p w14:paraId="2F037469" w14:textId="77777777" w:rsidR="00442528" w:rsidRDefault="00442528" w:rsidP="00442528">
      <w:pPr>
        <w:pStyle w:val="FootnoteText"/>
      </w:pPr>
      <w:r>
        <w:rPr>
          <w:rStyle w:val="FootnoteReference"/>
        </w:rPr>
        <w:footnoteRef/>
      </w:r>
      <w:r>
        <w:t xml:space="preserve"> </w:t>
      </w:r>
      <w:hyperlink r:id="rId11" w:history="1">
        <w:r w:rsidRPr="006E5E40">
          <w:rPr>
            <w:rStyle w:val="Hyperlink"/>
          </w:rPr>
          <w:t>https://www.jeuneafrique.com/1699217/politique/arrestation-de-succes-masra-au-tchad-lopposant-est-maintenu-en-detention/</w:t>
        </w:r>
      </w:hyperlink>
      <w:r>
        <w:t xml:space="preserve"> </w:t>
      </w:r>
    </w:p>
  </w:footnote>
  <w:footnote w:id="19">
    <w:p w14:paraId="3C4CEF51" w14:textId="1A2155E1" w:rsidR="005967A2" w:rsidRDefault="005967A2">
      <w:pPr>
        <w:pStyle w:val="FootnoteText"/>
      </w:pPr>
      <w:r>
        <w:rPr>
          <w:rStyle w:val="FootnoteReference"/>
        </w:rPr>
        <w:footnoteRef/>
      </w:r>
      <w:r>
        <w:t xml:space="preserve"> </w:t>
      </w:r>
      <w:hyperlink r:id="rId12" w:history="1">
        <w:r w:rsidRPr="004728FB">
          <w:rPr>
            <w:rStyle w:val="Hyperlink"/>
          </w:rPr>
          <w:t>https://www.omct.org/fr/ressources/appels-urgents/tchad-l%C3%A9tat-doit-ouvrir-des-enqu%C3%AAtes-sur-larrestation-arbitraire-et-les-actes-de-torture-subis-par-mahamat-souleymane-ir%C3%A9gu%C3%A9</w:t>
        </w:r>
      </w:hyperlink>
      <w:r>
        <w:t xml:space="preserve"> </w:t>
      </w:r>
    </w:p>
  </w:footnote>
  <w:footnote w:id="20">
    <w:p w14:paraId="28C12A66" w14:textId="45104B64" w:rsidR="00484D0D" w:rsidRDefault="00484D0D" w:rsidP="00484D0D">
      <w:pPr>
        <w:pStyle w:val="FootnoteText"/>
      </w:pPr>
      <w:r>
        <w:rPr>
          <w:rStyle w:val="FootnoteReference"/>
        </w:rPr>
        <w:footnoteRef/>
      </w:r>
      <w:r>
        <w:t xml:space="preserve"> </w:t>
      </w:r>
      <w:r w:rsidR="005D05D8" w:rsidRPr="00BB1BFD">
        <w:t xml:space="preserve">Human </w:t>
      </w:r>
      <w:proofErr w:type="spellStart"/>
      <w:r w:rsidR="005D05D8" w:rsidRPr="00BB1BFD">
        <w:t>Rights</w:t>
      </w:r>
      <w:proofErr w:type="spellEnd"/>
      <w:r w:rsidR="005D05D8" w:rsidRPr="00BB1BFD">
        <w:t xml:space="preserve"> Watch, </w:t>
      </w:r>
      <w:r w:rsidR="005D05D8" w:rsidRPr="0024207E">
        <w:t>“</w:t>
      </w:r>
      <w:r w:rsidR="005D05D8">
        <w:t>P</w:t>
      </w:r>
      <w:r w:rsidR="005D05D8" w:rsidRPr="0024207E">
        <w:t xml:space="preserve">ire que </w:t>
      </w:r>
      <w:proofErr w:type="gramStart"/>
      <w:r w:rsidR="005D05D8" w:rsidRPr="0024207E">
        <w:t>l’enfer:</w:t>
      </w:r>
      <w:proofErr w:type="gramEnd"/>
      <w:r w:rsidR="005D05D8" w:rsidRPr="0024207E">
        <w:t xml:space="preserve"> mort et torture à la prison de Koro Toro au Tchad”</w:t>
      </w:r>
      <w:r w:rsidR="005D05D8">
        <w:t xml:space="preserve">, 6 août 2024. Accessible à : </w:t>
      </w:r>
      <w:hyperlink r:id="rId13" w:history="1">
        <w:r w:rsidR="005D05D8" w:rsidRPr="00591A50">
          <w:rPr>
            <w:rStyle w:val="Hyperlink"/>
          </w:rPr>
          <w:t>https://www.hrw.org/fr/report/2024/08/06/pire-que-lenfer/mort-et-torture-la-prison-de-koro-toro-au-tchad</w:t>
        </w:r>
      </w:hyperlink>
    </w:p>
  </w:footnote>
  <w:footnote w:id="21">
    <w:p w14:paraId="1584498C" w14:textId="77777777" w:rsidR="00484D0D" w:rsidRDefault="00484D0D" w:rsidP="00484D0D">
      <w:pPr>
        <w:pStyle w:val="FootnoteText"/>
      </w:pPr>
      <w:r>
        <w:rPr>
          <w:rStyle w:val="FootnoteReference"/>
        </w:rPr>
        <w:footnoteRef/>
      </w:r>
      <w:r>
        <w:t xml:space="preserve"> </w:t>
      </w:r>
      <w:hyperlink r:id="rId14" w:history="1">
        <w:r w:rsidRPr="006E5E40">
          <w:rPr>
            <w:rStyle w:val="Hyperlink"/>
          </w:rPr>
          <w:t>https://www.omct.org/fr/ressources/declarations/tchad-les-actes-doivent-accompagner-les-promesses-de-lutter-contre-la-torture</w:t>
        </w:r>
      </w:hyperlink>
      <w:r>
        <w:rPr>
          <w:color w:val="000000"/>
        </w:rPr>
        <w:t xml:space="preserve"> </w:t>
      </w:r>
    </w:p>
  </w:footnote>
  <w:footnote w:id="22">
    <w:p w14:paraId="0F064612" w14:textId="77777777" w:rsidR="00484D0D" w:rsidRDefault="00484D0D" w:rsidP="00484D0D">
      <w:pPr>
        <w:pStyle w:val="FootnoteText"/>
      </w:pPr>
      <w:r>
        <w:rPr>
          <w:rStyle w:val="FootnoteReference"/>
        </w:rPr>
        <w:footnoteRef/>
      </w:r>
      <w:r>
        <w:t xml:space="preserve"> 3</w:t>
      </w:r>
      <w:r w:rsidRPr="00264799">
        <w:rPr>
          <w:vertAlign w:val="superscript"/>
        </w:rPr>
        <w:t>e</w:t>
      </w:r>
      <w:r>
        <w:t xml:space="preserve"> rapport périodique du Tchad au Comité des droits de l’Homme des Nations-Unies : </w:t>
      </w:r>
      <w:hyperlink r:id="rId15" w:history="1">
        <w:r w:rsidRPr="002A507A">
          <w:rPr>
            <w:rStyle w:val="Hyperlink"/>
          </w:rPr>
          <w:t>https://tbinternet.ohchr.org/_layouts/15/treatybodyexternal/Download.aspx?symbolno=CCPR%2FC%2FTCD%2F3&amp;Lang=en</w:t>
        </w:r>
      </w:hyperlink>
      <w:r>
        <w:t xml:space="preserve"> </w:t>
      </w:r>
    </w:p>
  </w:footnote>
  <w:footnote w:id="23">
    <w:p w14:paraId="7EBADB94" w14:textId="77777777" w:rsidR="00484D0D" w:rsidRDefault="00484D0D" w:rsidP="00484D0D">
      <w:pPr>
        <w:pStyle w:val="FootnoteText"/>
      </w:pPr>
      <w:r>
        <w:rPr>
          <w:rStyle w:val="FootnoteReference"/>
        </w:rPr>
        <w:footnoteRef/>
      </w:r>
      <w:r>
        <w:t xml:space="preserve"> </w:t>
      </w:r>
      <w:hyperlink r:id="rId16" w:history="1">
        <w:r w:rsidRPr="006E5E40">
          <w:rPr>
            <w:rStyle w:val="Hyperlink"/>
          </w:rPr>
          <w:t>https://tchadinfos.com/tchad-465-detenus-de-la-maison-darret-de-klessoum-beneficient-dune-remise-de-peines/</w:t>
        </w:r>
      </w:hyperlink>
      <w:r>
        <w:t xml:space="preserve"> </w:t>
      </w:r>
    </w:p>
  </w:footnote>
  <w:footnote w:id="24">
    <w:p w14:paraId="6186C210" w14:textId="77777777" w:rsidR="00484D0D" w:rsidRDefault="00484D0D" w:rsidP="00484D0D">
      <w:pPr>
        <w:pStyle w:val="FootnoteText"/>
      </w:pPr>
      <w:r>
        <w:rPr>
          <w:rStyle w:val="FootnoteReference"/>
        </w:rPr>
        <w:footnoteRef/>
      </w:r>
      <w:r>
        <w:t xml:space="preserve"> </w:t>
      </w:r>
      <w:hyperlink r:id="rId17" w:history="1">
        <w:r w:rsidRPr="006E5E40">
          <w:rPr>
            <w:rStyle w:val="Hyperlink"/>
          </w:rPr>
          <w:t>https://www.lepaystchad.com/36880/</w:t>
        </w:r>
      </w:hyperlink>
      <w:r>
        <w:t xml:space="preserve"> </w:t>
      </w:r>
    </w:p>
  </w:footnote>
  <w:footnote w:id="25">
    <w:p w14:paraId="30CECEC0" w14:textId="2E13AB42" w:rsidR="007C6238" w:rsidRDefault="007C6238">
      <w:pPr>
        <w:pStyle w:val="FootnoteText"/>
      </w:pPr>
      <w:r>
        <w:rPr>
          <w:rStyle w:val="FootnoteReference"/>
        </w:rPr>
        <w:footnoteRef/>
      </w:r>
      <w:r>
        <w:t xml:space="preserve"> </w:t>
      </w:r>
      <w:proofErr w:type="gramStart"/>
      <w:r w:rsidRPr="007C6238">
        <w:t>https://www.africa-press.net/tchad/toutes-les-actualites/fin-des-detentions-abusives-de-73-detenus-a-klessoum?</w:t>
      </w:r>
      <w:proofErr w:type="gramEnd"/>
    </w:p>
  </w:footnote>
  <w:footnote w:id="26">
    <w:p w14:paraId="09CFBF0D" w14:textId="00871F1E" w:rsidR="00484D0D" w:rsidRDefault="00484D0D" w:rsidP="00484D0D">
      <w:pPr>
        <w:pStyle w:val="FootnoteText"/>
      </w:pPr>
      <w:r>
        <w:rPr>
          <w:rStyle w:val="FootnoteReference"/>
        </w:rPr>
        <w:footnoteRef/>
      </w:r>
      <w:r>
        <w:t xml:space="preserve"> </w:t>
      </w:r>
      <w:r w:rsidR="00992D76" w:rsidRPr="00BB1BFD">
        <w:t xml:space="preserve">Human </w:t>
      </w:r>
      <w:proofErr w:type="spellStart"/>
      <w:r w:rsidR="00992D76" w:rsidRPr="00BB1BFD">
        <w:t>Rights</w:t>
      </w:r>
      <w:proofErr w:type="spellEnd"/>
      <w:r w:rsidR="00992D76" w:rsidRPr="00BB1BFD">
        <w:t xml:space="preserve"> Watch, </w:t>
      </w:r>
      <w:r w:rsidR="00992D76" w:rsidRPr="0024207E">
        <w:t>“</w:t>
      </w:r>
      <w:r w:rsidR="00992D76">
        <w:t>P</w:t>
      </w:r>
      <w:r w:rsidR="00992D76" w:rsidRPr="0024207E">
        <w:t xml:space="preserve">ire que </w:t>
      </w:r>
      <w:proofErr w:type="gramStart"/>
      <w:r w:rsidR="00992D76" w:rsidRPr="0024207E">
        <w:t>l’enfer:</w:t>
      </w:r>
      <w:proofErr w:type="gramEnd"/>
      <w:r w:rsidR="00992D76" w:rsidRPr="0024207E">
        <w:t xml:space="preserve"> mort et torture à la prison de Koro Toro au Tchad”</w:t>
      </w:r>
      <w:r w:rsidR="00992D76">
        <w:t xml:space="preserve">, 6 août 2024. Accessible à : </w:t>
      </w:r>
      <w:hyperlink r:id="rId18" w:history="1">
        <w:r w:rsidR="00992D76" w:rsidRPr="00591A50">
          <w:rPr>
            <w:rStyle w:val="Hyperlink"/>
          </w:rPr>
          <w:t>https://www.hrw.org/fr/report/2024/08/06/pire-que-lenfer/mort-et-torture-la-prison-de-koro-toro-au-tchad</w:t>
        </w:r>
      </w:hyperlink>
    </w:p>
  </w:footnote>
  <w:footnote w:id="27">
    <w:p w14:paraId="37E403D5" w14:textId="2948E9B7" w:rsidR="00B05058" w:rsidRDefault="00B05058">
      <w:pPr>
        <w:pStyle w:val="FootnoteText"/>
      </w:pPr>
      <w:r>
        <w:rPr>
          <w:rStyle w:val="FootnoteReference"/>
        </w:rPr>
        <w:footnoteRef/>
      </w:r>
      <w:r>
        <w:t xml:space="preserve"> </w:t>
      </w:r>
      <w:r w:rsidR="00992D76">
        <w:t xml:space="preserve">Espace civique et </w:t>
      </w:r>
      <w:proofErr w:type="spellStart"/>
      <w:r w:rsidR="00992D76">
        <w:t>défenseur·es</w:t>
      </w:r>
      <w:proofErr w:type="spellEnd"/>
      <w:r w:rsidR="00992D76">
        <w:t xml:space="preserve"> des droits humains au Sahel</w:t>
      </w:r>
      <w:r w:rsidR="00992D76">
        <w:t xml:space="preserve"> : convergence régionale des pratiques de répression, L’Observatoire pour la protection des défendeurs des droits humains, février 2025. Accessible à : </w:t>
      </w:r>
      <w:hyperlink r:id="rId19" w:history="1">
        <w:r w:rsidR="00AF67E7" w:rsidRPr="00591A50">
          <w:rPr>
            <w:rStyle w:val="Hyperlink"/>
          </w:rPr>
          <w:t>https://www.omct.org/site-resource</w:t>
        </w:r>
        <w:r w:rsidR="00AF67E7" w:rsidRPr="00591A50">
          <w:rPr>
            <w:rStyle w:val="Hyperlink"/>
          </w:rPr>
          <w:t>s</w:t>
        </w:r>
        <w:r w:rsidR="00AF67E7" w:rsidRPr="00591A50">
          <w:rPr>
            <w:rStyle w:val="Hyperlink"/>
          </w:rPr>
          <w:t>/legacy/20250211_Rapport-OBS-SAHEL_FR_V2.pdf</w:t>
        </w:r>
      </w:hyperlink>
      <w:r>
        <w:t xml:space="preserve"> </w:t>
      </w:r>
    </w:p>
  </w:footnote>
  <w:footnote w:id="28">
    <w:p w14:paraId="09D9C039" w14:textId="77777777" w:rsidR="00D03A1B" w:rsidRDefault="00D03A1B" w:rsidP="00D03A1B">
      <w:pPr>
        <w:pStyle w:val="FootnoteText"/>
      </w:pPr>
      <w:r>
        <w:rPr>
          <w:rStyle w:val="FootnoteReference"/>
        </w:rPr>
        <w:footnoteRef/>
      </w:r>
      <w:r>
        <w:t xml:space="preserve"> </w:t>
      </w:r>
      <w:hyperlink r:id="rId20" w:history="1">
        <w:r w:rsidRPr="006E5E40">
          <w:rPr>
            <w:rStyle w:val="Hyperlink"/>
          </w:rPr>
          <w:t>https://www.rfi.fr/fr/afrique/20250615-tchad-le-procureur-interdit-la-presse-et-la-soci%C3%A9t%C3%A9-civile-d-enqu%C3%AAter-sur-les-violences-de-mandakao</w:t>
        </w:r>
      </w:hyperlink>
      <w:r>
        <w:t xml:space="preserve"> </w:t>
      </w:r>
    </w:p>
  </w:footnote>
  <w:footnote w:id="29">
    <w:p w14:paraId="14C52A3B" w14:textId="5CCBA3C3" w:rsidR="00DB5EEC" w:rsidRDefault="00DB5EEC">
      <w:pPr>
        <w:pStyle w:val="FootnoteText"/>
      </w:pPr>
      <w:r>
        <w:rPr>
          <w:rStyle w:val="FootnoteReference"/>
        </w:rPr>
        <w:footnoteRef/>
      </w:r>
      <w:r>
        <w:t xml:space="preserve"> </w:t>
      </w:r>
      <w:hyperlink r:id="rId21" w:history="1">
        <w:r w:rsidRPr="004728FB">
          <w:rPr>
            <w:rStyle w:val="Hyperlink"/>
          </w:rPr>
          <w:t>https://www.omct.org/fr/ressources/appels-urgents/tchad-d%C3%A9ch%C3%A9ance-de-nationalit%C3%A9-de-mm-nguebla-maka%C3%AFla-et-charfadine-galmaye-saleh</w:t>
        </w:r>
      </w:hyperlink>
      <w:r>
        <w:t xml:space="preserve"> </w:t>
      </w:r>
    </w:p>
  </w:footnote>
  <w:footnote w:id="30">
    <w:p w14:paraId="40C8FDF8" w14:textId="19DD9907" w:rsidR="00F14C7E" w:rsidRDefault="00F14C7E">
      <w:pPr>
        <w:pStyle w:val="FootnoteText"/>
      </w:pPr>
      <w:r>
        <w:rPr>
          <w:rStyle w:val="FootnoteReference"/>
        </w:rPr>
        <w:footnoteRef/>
      </w:r>
      <w:r>
        <w:t xml:space="preserve"> </w:t>
      </w:r>
      <w:hyperlink r:id="rId22" w:history="1">
        <w:r w:rsidRPr="00591A50">
          <w:rPr>
            <w:rStyle w:val="Hyperlink"/>
          </w:rPr>
          <w:t>https://www.omct.org/fr/ressources/appels-urgents/tchad-obstruction-%C3%A0-la-libert%C3%A9-de-circulation-de-quatre-membres-de-la-ltdh-par-le-d%C3%A9l%C3%A9gu%C3%A9-g%C3%A9n%C3%A9ral-du-gouvernement-aupr%C3%A8s-de-la-province-du-lac?x-craft-preview=3077ad2e7eecac3b7ff422b72eefebd3a58d37d5945afcd0d703d12519183f18alanabohum&amp;token=7M5MbYGYJSTKs3y4rdUyI5ZEqRrhqbuu</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534"/>
    <w:multiLevelType w:val="multilevel"/>
    <w:tmpl w:val="D0F0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F239D"/>
    <w:multiLevelType w:val="hybridMultilevel"/>
    <w:tmpl w:val="4DBCB808"/>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50041"/>
    <w:multiLevelType w:val="hybridMultilevel"/>
    <w:tmpl w:val="B77219A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4035CB4"/>
    <w:multiLevelType w:val="multilevel"/>
    <w:tmpl w:val="5B449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bullet"/>
      <w:lvlText w:val="-"/>
      <w:lvlJc w:val="left"/>
      <w:pPr>
        <w:ind w:left="2160" w:hanging="360"/>
      </w:pPr>
      <w:rPr>
        <w:rFonts w:ascii="Times New Roman" w:eastAsiaTheme="majorEastAsia" w:hAnsi="Times New Roman"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24EFC"/>
    <w:multiLevelType w:val="hybridMultilevel"/>
    <w:tmpl w:val="ABDCBC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D1C6A"/>
    <w:multiLevelType w:val="hybridMultilevel"/>
    <w:tmpl w:val="9C6A0E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55F52"/>
    <w:multiLevelType w:val="multilevel"/>
    <w:tmpl w:val="21C25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702D8"/>
    <w:multiLevelType w:val="multilevel"/>
    <w:tmpl w:val="7920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5426C"/>
    <w:multiLevelType w:val="multilevel"/>
    <w:tmpl w:val="DB304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B0ED0"/>
    <w:multiLevelType w:val="multilevel"/>
    <w:tmpl w:val="5C442030"/>
    <w:lvl w:ilvl="0">
      <w:start w:val="1"/>
      <w:numFmt w:val="bullet"/>
      <w:lvlText w:val=""/>
      <w:lvlJc w:val="left"/>
      <w:pPr>
        <w:tabs>
          <w:tab w:val="num" w:pos="720"/>
        </w:tabs>
        <w:ind w:left="720" w:hanging="360"/>
      </w:pPr>
      <w:rPr>
        <w:rFonts w:ascii="Symbol" w:hAnsi="Symbol" w:hint="default"/>
        <w:sz w:val="20"/>
      </w:rPr>
    </w:lvl>
    <w:lvl w:ilvl="1">
      <w:start w:val="41"/>
      <w:numFmt w:val="decimal"/>
      <w:lvlText w:val="%2."/>
      <w:lvlJc w:val="left"/>
      <w:pPr>
        <w:ind w:left="1440" w:hanging="360"/>
      </w:pPr>
      <w:rPr>
        <w:rFonts w:eastAsiaTheme="majorEastAs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F6877"/>
    <w:multiLevelType w:val="hybridMultilevel"/>
    <w:tmpl w:val="B5A2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4788F"/>
    <w:multiLevelType w:val="hybridMultilevel"/>
    <w:tmpl w:val="94261C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E07F6"/>
    <w:multiLevelType w:val="multilevel"/>
    <w:tmpl w:val="1C20420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B86163"/>
    <w:multiLevelType w:val="multilevel"/>
    <w:tmpl w:val="968A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376B3"/>
    <w:multiLevelType w:val="multilevel"/>
    <w:tmpl w:val="24AC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62926"/>
    <w:multiLevelType w:val="hybridMultilevel"/>
    <w:tmpl w:val="A418DE70"/>
    <w:lvl w:ilvl="0" w:tplc="040C0013">
      <w:start w:val="1"/>
      <w:numFmt w:val="upp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B25B5F"/>
    <w:multiLevelType w:val="multilevel"/>
    <w:tmpl w:val="45145F78"/>
    <w:lvl w:ilvl="0">
      <w:start w:val="31"/>
      <w:numFmt w:val="decimal"/>
      <w:lvlText w:val="%1."/>
      <w:lvlJc w:val="left"/>
      <w:pPr>
        <w:ind w:left="480" w:hanging="480"/>
      </w:pPr>
      <w:rPr>
        <w:rFonts w:eastAsiaTheme="majorEastAsia" w:hint="default"/>
      </w:rPr>
    </w:lvl>
    <w:lvl w:ilvl="1">
      <w:start w:val="1"/>
      <w:numFmt w:val="decimal"/>
      <w:lvlText w:val="%1.%2."/>
      <w:lvlJc w:val="left"/>
      <w:pPr>
        <w:ind w:left="840" w:hanging="48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1800" w:hanging="72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2880" w:hanging="108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3960" w:hanging="144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17" w15:restartNumberingAfterBreak="0">
    <w:nsid w:val="432E730D"/>
    <w:multiLevelType w:val="multilevel"/>
    <w:tmpl w:val="247E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A160E"/>
    <w:multiLevelType w:val="multilevel"/>
    <w:tmpl w:val="52922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932F2"/>
    <w:multiLevelType w:val="hybridMultilevel"/>
    <w:tmpl w:val="A1F82EBE"/>
    <w:lvl w:ilvl="0" w:tplc="349225D4">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A98"/>
    <w:multiLevelType w:val="hybridMultilevel"/>
    <w:tmpl w:val="21BEC8B2"/>
    <w:lvl w:ilvl="0" w:tplc="D382AC94">
      <w:start w:val="10"/>
      <w:numFmt w:val="bullet"/>
      <w:lvlText w:val="-"/>
      <w:lvlJc w:val="left"/>
      <w:pPr>
        <w:ind w:left="720" w:hanging="360"/>
      </w:pPr>
      <w:rPr>
        <w:rFonts w:ascii="Times New Roman" w:eastAsiaTheme="majorEastAsia"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0781D"/>
    <w:multiLevelType w:val="hybridMultilevel"/>
    <w:tmpl w:val="10F04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1F15FE"/>
    <w:multiLevelType w:val="hybridMultilevel"/>
    <w:tmpl w:val="ED4C3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1D2748"/>
    <w:multiLevelType w:val="hybridMultilevel"/>
    <w:tmpl w:val="6BA2B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977EB4"/>
    <w:multiLevelType w:val="hybridMultilevel"/>
    <w:tmpl w:val="05D40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0019DF"/>
    <w:multiLevelType w:val="hybridMultilevel"/>
    <w:tmpl w:val="6AC0B2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322"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8A3998"/>
    <w:multiLevelType w:val="multilevel"/>
    <w:tmpl w:val="901CF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D38BE"/>
    <w:multiLevelType w:val="hybridMultilevel"/>
    <w:tmpl w:val="3B385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24126A"/>
    <w:multiLevelType w:val="multilevel"/>
    <w:tmpl w:val="1C20420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0F67598"/>
    <w:multiLevelType w:val="multilevel"/>
    <w:tmpl w:val="2E2A7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2643D1"/>
    <w:multiLevelType w:val="multilevel"/>
    <w:tmpl w:val="F94C8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9E0D80"/>
    <w:multiLevelType w:val="multilevel"/>
    <w:tmpl w:val="25882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E81A7A"/>
    <w:multiLevelType w:val="multilevel"/>
    <w:tmpl w:val="E9B8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8405AC"/>
    <w:multiLevelType w:val="hybridMultilevel"/>
    <w:tmpl w:val="9B684C36"/>
    <w:lvl w:ilvl="0" w:tplc="9BE65DB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53733D8"/>
    <w:multiLevelType w:val="hybridMultilevel"/>
    <w:tmpl w:val="08CE2D68"/>
    <w:lvl w:ilvl="0" w:tplc="33409E5A">
      <w:start w:val="1"/>
      <w:numFmt w:val="bullet"/>
      <w:lvlText w:val="o"/>
      <w:lvlJc w:val="left"/>
      <w:pPr>
        <w:ind w:left="720" w:hanging="360"/>
      </w:pPr>
      <w:rPr>
        <w:rFonts w:ascii="Courier New" w:hAnsi="Courier New" w:cs="Courier New"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9723D5"/>
    <w:multiLevelType w:val="multilevel"/>
    <w:tmpl w:val="98683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A48FC"/>
    <w:multiLevelType w:val="multilevel"/>
    <w:tmpl w:val="79C8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471A0B"/>
    <w:multiLevelType w:val="hybridMultilevel"/>
    <w:tmpl w:val="BAB2B93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228362D"/>
    <w:multiLevelType w:val="multilevel"/>
    <w:tmpl w:val="302A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42070"/>
    <w:multiLevelType w:val="hybridMultilevel"/>
    <w:tmpl w:val="37F86F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0E19AD"/>
    <w:multiLevelType w:val="multilevel"/>
    <w:tmpl w:val="4F004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82827"/>
    <w:multiLevelType w:val="hybridMultilevel"/>
    <w:tmpl w:val="32C86E42"/>
    <w:lvl w:ilvl="0" w:tplc="040C001B">
      <w:start w:val="1"/>
      <w:numFmt w:val="lowerRoman"/>
      <w:lvlText w:val="%1."/>
      <w:lvlJc w:val="righ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6312740">
    <w:abstractNumId w:val="3"/>
  </w:num>
  <w:num w:numId="2" w16cid:durableId="158468690">
    <w:abstractNumId w:val="18"/>
  </w:num>
  <w:num w:numId="3" w16cid:durableId="1843815305">
    <w:abstractNumId w:val="40"/>
  </w:num>
  <w:num w:numId="4" w16cid:durableId="1199392182">
    <w:abstractNumId w:val="35"/>
  </w:num>
  <w:num w:numId="5" w16cid:durableId="655188454">
    <w:abstractNumId w:val="14"/>
  </w:num>
  <w:num w:numId="6" w16cid:durableId="1694041025">
    <w:abstractNumId w:val="9"/>
  </w:num>
  <w:num w:numId="7" w16cid:durableId="501824599">
    <w:abstractNumId w:val="38"/>
  </w:num>
  <w:num w:numId="8" w16cid:durableId="1518695961">
    <w:abstractNumId w:val="33"/>
  </w:num>
  <w:num w:numId="9" w16cid:durableId="1297641085">
    <w:abstractNumId w:val="7"/>
  </w:num>
  <w:num w:numId="10" w16cid:durableId="1369989241">
    <w:abstractNumId w:val="6"/>
  </w:num>
  <w:num w:numId="11" w16cid:durableId="1861123474">
    <w:abstractNumId w:val="8"/>
  </w:num>
  <w:num w:numId="12" w16cid:durableId="1676227802">
    <w:abstractNumId w:val="26"/>
  </w:num>
  <w:num w:numId="13" w16cid:durableId="235553543">
    <w:abstractNumId w:val="31"/>
  </w:num>
  <w:num w:numId="14" w16cid:durableId="114061646">
    <w:abstractNumId w:val="29"/>
  </w:num>
  <w:num w:numId="15" w16cid:durableId="1940093284">
    <w:abstractNumId w:val="28"/>
  </w:num>
  <w:num w:numId="16" w16cid:durableId="1290892264">
    <w:abstractNumId w:val="16"/>
  </w:num>
  <w:num w:numId="17" w16cid:durableId="1861816945">
    <w:abstractNumId w:val="22"/>
  </w:num>
  <w:num w:numId="18" w16cid:durableId="686833616">
    <w:abstractNumId w:val="25"/>
  </w:num>
  <w:num w:numId="19" w16cid:durableId="1903906755">
    <w:abstractNumId w:val="24"/>
  </w:num>
  <w:num w:numId="20" w16cid:durableId="2006590508">
    <w:abstractNumId w:val="15"/>
  </w:num>
  <w:num w:numId="21" w16cid:durableId="1069040428">
    <w:abstractNumId w:val="41"/>
  </w:num>
  <w:num w:numId="22" w16cid:durableId="240019014">
    <w:abstractNumId w:val="37"/>
  </w:num>
  <w:num w:numId="23" w16cid:durableId="162089617">
    <w:abstractNumId w:val="2"/>
  </w:num>
  <w:num w:numId="24" w16cid:durableId="1515072712">
    <w:abstractNumId w:val="20"/>
  </w:num>
  <w:num w:numId="25" w16cid:durableId="1640719101">
    <w:abstractNumId w:val="30"/>
  </w:num>
  <w:num w:numId="26" w16cid:durableId="252932713">
    <w:abstractNumId w:val="23"/>
  </w:num>
  <w:num w:numId="27" w16cid:durableId="1897692481">
    <w:abstractNumId w:val="32"/>
  </w:num>
  <w:num w:numId="28" w16cid:durableId="670988070">
    <w:abstractNumId w:val="17"/>
  </w:num>
  <w:num w:numId="29" w16cid:durableId="1635283560">
    <w:abstractNumId w:val="13"/>
  </w:num>
  <w:num w:numId="30" w16cid:durableId="391512553">
    <w:abstractNumId w:val="0"/>
  </w:num>
  <w:num w:numId="31" w16cid:durableId="1348173620">
    <w:abstractNumId w:val="11"/>
  </w:num>
  <w:num w:numId="32" w16cid:durableId="798305973">
    <w:abstractNumId w:val="36"/>
  </w:num>
  <w:num w:numId="33" w16cid:durableId="1623611753">
    <w:abstractNumId w:val="4"/>
  </w:num>
  <w:num w:numId="34" w16cid:durableId="2897396">
    <w:abstractNumId w:val="5"/>
  </w:num>
  <w:num w:numId="35" w16cid:durableId="1001619414">
    <w:abstractNumId w:val="27"/>
  </w:num>
  <w:num w:numId="36" w16cid:durableId="1429889424">
    <w:abstractNumId w:val="12"/>
  </w:num>
  <w:num w:numId="37" w16cid:durableId="1342198053">
    <w:abstractNumId w:val="1"/>
  </w:num>
  <w:num w:numId="38" w16cid:durableId="1368027273">
    <w:abstractNumId w:val="21"/>
  </w:num>
  <w:num w:numId="39" w16cid:durableId="1376084745">
    <w:abstractNumId w:val="34"/>
  </w:num>
  <w:num w:numId="40" w16cid:durableId="1111899807">
    <w:abstractNumId w:val="10"/>
  </w:num>
  <w:num w:numId="41" w16cid:durableId="585455661">
    <w:abstractNumId w:val="39"/>
  </w:num>
  <w:num w:numId="42" w16cid:durableId="8884911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C0"/>
    <w:rsid w:val="00000814"/>
    <w:rsid w:val="00001C0B"/>
    <w:rsid w:val="000040D2"/>
    <w:rsid w:val="00006882"/>
    <w:rsid w:val="00011E3B"/>
    <w:rsid w:val="00014116"/>
    <w:rsid w:val="000152CB"/>
    <w:rsid w:val="00024456"/>
    <w:rsid w:val="00030DD4"/>
    <w:rsid w:val="0003607D"/>
    <w:rsid w:val="000401AD"/>
    <w:rsid w:val="0004434D"/>
    <w:rsid w:val="00044B7C"/>
    <w:rsid w:val="0005557F"/>
    <w:rsid w:val="000625B6"/>
    <w:rsid w:val="0006442B"/>
    <w:rsid w:val="000754CE"/>
    <w:rsid w:val="000767D5"/>
    <w:rsid w:val="00086BE0"/>
    <w:rsid w:val="000A3D49"/>
    <w:rsid w:val="000A7D2F"/>
    <w:rsid w:val="000C30B6"/>
    <w:rsid w:val="000C44D5"/>
    <w:rsid w:val="000D646E"/>
    <w:rsid w:val="00100D20"/>
    <w:rsid w:val="00106CD8"/>
    <w:rsid w:val="00111389"/>
    <w:rsid w:val="001179A0"/>
    <w:rsid w:val="00120E76"/>
    <w:rsid w:val="001223AF"/>
    <w:rsid w:val="00122FB9"/>
    <w:rsid w:val="00124023"/>
    <w:rsid w:val="001363FC"/>
    <w:rsid w:val="001374EE"/>
    <w:rsid w:val="001470D0"/>
    <w:rsid w:val="00155D69"/>
    <w:rsid w:val="00156341"/>
    <w:rsid w:val="00156A9E"/>
    <w:rsid w:val="00160AAD"/>
    <w:rsid w:val="00181203"/>
    <w:rsid w:val="001A4F5C"/>
    <w:rsid w:val="001B4D43"/>
    <w:rsid w:val="001F38AD"/>
    <w:rsid w:val="001F746F"/>
    <w:rsid w:val="00221449"/>
    <w:rsid w:val="00222D18"/>
    <w:rsid w:val="00227465"/>
    <w:rsid w:val="00227EF4"/>
    <w:rsid w:val="00235E36"/>
    <w:rsid w:val="00236109"/>
    <w:rsid w:val="00236D37"/>
    <w:rsid w:val="00242768"/>
    <w:rsid w:val="002467A7"/>
    <w:rsid w:val="0025132C"/>
    <w:rsid w:val="00252101"/>
    <w:rsid w:val="00254118"/>
    <w:rsid w:val="0026076B"/>
    <w:rsid w:val="0026262D"/>
    <w:rsid w:val="00262A04"/>
    <w:rsid w:val="00262AD0"/>
    <w:rsid w:val="00264799"/>
    <w:rsid w:val="002733F6"/>
    <w:rsid w:val="002769F7"/>
    <w:rsid w:val="00280850"/>
    <w:rsid w:val="002A00BA"/>
    <w:rsid w:val="002A2E9E"/>
    <w:rsid w:val="002A507A"/>
    <w:rsid w:val="002A7AB2"/>
    <w:rsid w:val="002C0490"/>
    <w:rsid w:val="002D437C"/>
    <w:rsid w:val="002D5D63"/>
    <w:rsid w:val="002D5E4C"/>
    <w:rsid w:val="002F5B84"/>
    <w:rsid w:val="002F5FD0"/>
    <w:rsid w:val="003033FD"/>
    <w:rsid w:val="00310CDC"/>
    <w:rsid w:val="0031429D"/>
    <w:rsid w:val="00341970"/>
    <w:rsid w:val="00354529"/>
    <w:rsid w:val="00360C5F"/>
    <w:rsid w:val="00362CD2"/>
    <w:rsid w:val="003633DC"/>
    <w:rsid w:val="00364338"/>
    <w:rsid w:val="0037098D"/>
    <w:rsid w:val="00373724"/>
    <w:rsid w:val="00383CB1"/>
    <w:rsid w:val="0038462B"/>
    <w:rsid w:val="0039204E"/>
    <w:rsid w:val="003927CD"/>
    <w:rsid w:val="00392F2D"/>
    <w:rsid w:val="003961A9"/>
    <w:rsid w:val="003A0AD8"/>
    <w:rsid w:val="003B1DE4"/>
    <w:rsid w:val="003B2FF0"/>
    <w:rsid w:val="003B6DF2"/>
    <w:rsid w:val="003D08EF"/>
    <w:rsid w:val="003D3B2A"/>
    <w:rsid w:val="003E4EB2"/>
    <w:rsid w:val="003E797C"/>
    <w:rsid w:val="003F0E28"/>
    <w:rsid w:val="003F2AC0"/>
    <w:rsid w:val="0040350F"/>
    <w:rsid w:val="0040563B"/>
    <w:rsid w:val="00405920"/>
    <w:rsid w:val="00406031"/>
    <w:rsid w:val="0041244F"/>
    <w:rsid w:val="0042196C"/>
    <w:rsid w:val="0042372D"/>
    <w:rsid w:val="0043219A"/>
    <w:rsid w:val="00442528"/>
    <w:rsid w:val="00443EA2"/>
    <w:rsid w:val="0044763D"/>
    <w:rsid w:val="0046082F"/>
    <w:rsid w:val="00462D6F"/>
    <w:rsid w:val="00466700"/>
    <w:rsid w:val="00467DA9"/>
    <w:rsid w:val="00472190"/>
    <w:rsid w:val="004742C5"/>
    <w:rsid w:val="00474AB6"/>
    <w:rsid w:val="00475B65"/>
    <w:rsid w:val="00484801"/>
    <w:rsid w:val="00484D0D"/>
    <w:rsid w:val="00495229"/>
    <w:rsid w:val="004A0067"/>
    <w:rsid w:val="004B1DA7"/>
    <w:rsid w:val="004B4BC4"/>
    <w:rsid w:val="004B6B09"/>
    <w:rsid w:val="004B7983"/>
    <w:rsid w:val="004D6C02"/>
    <w:rsid w:val="004E398D"/>
    <w:rsid w:val="00505CB4"/>
    <w:rsid w:val="00510C18"/>
    <w:rsid w:val="00516639"/>
    <w:rsid w:val="00516A9E"/>
    <w:rsid w:val="005221F8"/>
    <w:rsid w:val="0052475C"/>
    <w:rsid w:val="00530227"/>
    <w:rsid w:val="0053706A"/>
    <w:rsid w:val="005543D0"/>
    <w:rsid w:val="00556359"/>
    <w:rsid w:val="00556C76"/>
    <w:rsid w:val="00556D55"/>
    <w:rsid w:val="005634B8"/>
    <w:rsid w:val="00566EDB"/>
    <w:rsid w:val="005677F3"/>
    <w:rsid w:val="00577823"/>
    <w:rsid w:val="0058114C"/>
    <w:rsid w:val="00583023"/>
    <w:rsid w:val="00591225"/>
    <w:rsid w:val="005967A2"/>
    <w:rsid w:val="005A15D5"/>
    <w:rsid w:val="005A27A4"/>
    <w:rsid w:val="005A29BB"/>
    <w:rsid w:val="005B671A"/>
    <w:rsid w:val="005B7E45"/>
    <w:rsid w:val="005C7142"/>
    <w:rsid w:val="005D05D8"/>
    <w:rsid w:val="005D30D2"/>
    <w:rsid w:val="005E0F29"/>
    <w:rsid w:val="005E36F7"/>
    <w:rsid w:val="005F234D"/>
    <w:rsid w:val="005F5A30"/>
    <w:rsid w:val="006055E3"/>
    <w:rsid w:val="0060660D"/>
    <w:rsid w:val="00621D93"/>
    <w:rsid w:val="0062717C"/>
    <w:rsid w:val="00630189"/>
    <w:rsid w:val="00630FCD"/>
    <w:rsid w:val="006315D5"/>
    <w:rsid w:val="00631CDF"/>
    <w:rsid w:val="0064068B"/>
    <w:rsid w:val="0064246C"/>
    <w:rsid w:val="0064284C"/>
    <w:rsid w:val="00644F1A"/>
    <w:rsid w:val="006451C1"/>
    <w:rsid w:val="006467D2"/>
    <w:rsid w:val="00656BDF"/>
    <w:rsid w:val="00657C0C"/>
    <w:rsid w:val="00664A71"/>
    <w:rsid w:val="006658D4"/>
    <w:rsid w:val="0068130F"/>
    <w:rsid w:val="006A5668"/>
    <w:rsid w:val="006D0FB8"/>
    <w:rsid w:val="006D110D"/>
    <w:rsid w:val="006E0CD6"/>
    <w:rsid w:val="006E5019"/>
    <w:rsid w:val="006E5896"/>
    <w:rsid w:val="006F515A"/>
    <w:rsid w:val="00703676"/>
    <w:rsid w:val="00710DB2"/>
    <w:rsid w:val="007145E7"/>
    <w:rsid w:val="00715E63"/>
    <w:rsid w:val="007359AE"/>
    <w:rsid w:val="007444C9"/>
    <w:rsid w:val="007456FA"/>
    <w:rsid w:val="00752549"/>
    <w:rsid w:val="00757092"/>
    <w:rsid w:val="00762DE9"/>
    <w:rsid w:val="00763DDB"/>
    <w:rsid w:val="00770D24"/>
    <w:rsid w:val="00780CC9"/>
    <w:rsid w:val="00780F89"/>
    <w:rsid w:val="00781CDC"/>
    <w:rsid w:val="007822FB"/>
    <w:rsid w:val="007836FD"/>
    <w:rsid w:val="007B7BAC"/>
    <w:rsid w:val="007C2570"/>
    <w:rsid w:val="007C6238"/>
    <w:rsid w:val="007C763C"/>
    <w:rsid w:val="007D06DA"/>
    <w:rsid w:val="007D0710"/>
    <w:rsid w:val="007D65FC"/>
    <w:rsid w:val="007E399B"/>
    <w:rsid w:val="007E5CF2"/>
    <w:rsid w:val="007E6CE0"/>
    <w:rsid w:val="008119A6"/>
    <w:rsid w:val="00822AF4"/>
    <w:rsid w:val="00823AB8"/>
    <w:rsid w:val="00824089"/>
    <w:rsid w:val="00836FC0"/>
    <w:rsid w:val="00854706"/>
    <w:rsid w:val="00861612"/>
    <w:rsid w:val="008664C0"/>
    <w:rsid w:val="00881279"/>
    <w:rsid w:val="00883ED1"/>
    <w:rsid w:val="00894BE0"/>
    <w:rsid w:val="00894D3B"/>
    <w:rsid w:val="008952FD"/>
    <w:rsid w:val="008A03F5"/>
    <w:rsid w:val="008D160E"/>
    <w:rsid w:val="008E06C3"/>
    <w:rsid w:val="008E1A4E"/>
    <w:rsid w:val="008E3C96"/>
    <w:rsid w:val="008E3E1C"/>
    <w:rsid w:val="008E56F2"/>
    <w:rsid w:val="008F4837"/>
    <w:rsid w:val="0090082A"/>
    <w:rsid w:val="00901BE0"/>
    <w:rsid w:val="009025AE"/>
    <w:rsid w:val="00907027"/>
    <w:rsid w:val="00911347"/>
    <w:rsid w:val="00915E7C"/>
    <w:rsid w:val="00915FC6"/>
    <w:rsid w:val="00935441"/>
    <w:rsid w:val="00937905"/>
    <w:rsid w:val="009442CF"/>
    <w:rsid w:val="009508B0"/>
    <w:rsid w:val="00957418"/>
    <w:rsid w:val="00985312"/>
    <w:rsid w:val="00992D76"/>
    <w:rsid w:val="009943BB"/>
    <w:rsid w:val="009B1AA9"/>
    <w:rsid w:val="009B4114"/>
    <w:rsid w:val="009B50D8"/>
    <w:rsid w:val="009C65FD"/>
    <w:rsid w:val="009D30FC"/>
    <w:rsid w:val="009D7897"/>
    <w:rsid w:val="009E02E9"/>
    <w:rsid w:val="009E1429"/>
    <w:rsid w:val="009E33A4"/>
    <w:rsid w:val="009E3F3F"/>
    <w:rsid w:val="009F0826"/>
    <w:rsid w:val="009F5CCA"/>
    <w:rsid w:val="00A013EE"/>
    <w:rsid w:val="00A04949"/>
    <w:rsid w:val="00A05D54"/>
    <w:rsid w:val="00A14F4C"/>
    <w:rsid w:val="00A22A77"/>
    <w:rsid w:val="00A2562C"/>
    <w:rsid w:val="00A25637"/>
    <w:rsid w:val="00A31157"/>
    <w:rsid w:val="00A3379D"/>
    <w:rsid w:val="00A3575C"/>
    <w:rsid w:val="00A37EEC"/>
    <w:rsid w:val="00A44484"/>
    <w:rsid w:val="00A4797F"/>
    <w:rsid w:val="00A71569"/>
    <w:rsid w:val="00A73CD5"/>
    <w:rsid w:val="00A85AAF"/>
    <w:rsid w:val="00A93D47"/>
    <w:rsid w:val="00AA5409"/>
    <w:rsid w:val="00AC6BBD"/>
    <w:rsid w:val="00AD2B79"/>
    <w:rsid w:val="00AE0497"/>
    <w:rsid w:val="00AE3023"/>
    <w:rsid w:val="00AE4A03"/>
    <w:rsid w:val="00AF67E7"/>
    <w:rsid w:val="00AF7CB4"/>
    <w:rsid w:val="00B0451F"/>
    <w:rsid w:val="00B04E24"/>
    <w:rsid w:val="00B05058"/>
    <w:rsid w:val="00B105E4"/>
    <w:rsid w:val="00B11935"/>
    <w:rsid w:val="00B137E6"/>
    <w:rsid w:val="00B14855"/>
    <w:rsid w:val="00B15331"/>
    <w:rsid w:val="00B1545D"/>
    <w:rsid w:val="00B2098B"/>
    <w:rsid w:val="00B268DD"/>
    <w:rsid w:val="00B32AD0"/>
    <w:rsid w:val="00B47B66"/>
    <w:rsid w:val="00B51150"/>
    <w:rsid w:val="00B654D9"/>
    <w:rsid w:val="00B72A02"/>
    <w:rsid w:val="00B747BF"/>
    <w:rsid w:val="00B754BE"/>
    <w:rsid w:val="00B77AA9"/>
    <w:rsid w:val="00B80AD1"/>
    <w:rsid w:val="00B80BC8"/>
    <w:rsid w:val="00B845CA"/>
    <w:rsid w:val="00B874F1"/>
    <w:rsid w:val="00B92203"/>
    <w:rsid w:val="00B941B2"/>
    <w:rsid w:val="00BA08C6"/>
    <w:rsid w:val="00BB095B"/>
    <w:rsid w:val="00BB1BFD"/>
    <w:rsid w:val="00BB7A15"/>
    <w:rsid w:val="00BD6C84"/>
    <w:rsid w:val="00BE7B63"/>
    <w:rsid w:val="00BF4F97"/>
    <w:rsid w:val="00C01627"/>
    <w:rsid w:val="00C071A0"/>
    <w:rsid w:val="00C16A50"/>
    <w:rsid w:val="00C276F9"/>
    <w:rsid w:val="00C35003"/>
    <w:rsid w:val="00C405EA"/>
    <w:rsid w:val="00C4100F"/>
    <w:rsid w:val="00C45486"/>
    <w:rsid w:val="00C477ED"/>
    <w:rsid w:val="00C86A06"/>
    <w:rsid w:val="00C86FA2"/>
    <w:rsid w:val="00C94CDD"/>
    <w:rsid w:val="00C95643"/>
    <w:rsid w:val="00C97776"/>
    <w:rsid w:val="00C97DD2"/>
    <w:rsid w:val="00CA4602"/>
    <w:rsid w:val="00CB1F25"/>
    <w:rsid w:val="00CC0705"/>
    <w:rsid w:val="00CE04F8"/>
    <w:rsid w:val="00CE21F0"/>
    <w:rsid w:val="00CE5398"/>
    <w:rsid w:val="00CE546B"/>
    <w:rsid w:val="00CF09A4"/>
    <w:rsid w:val="00CF6609"/>
    <w:rsid w:val="00D01CAA"/>
    <w:rsid w:val="00D03A1B"/>
    <w:rsid w:val="00D073F1"/>
    <w:rsid w:val="00D07518"/>
    <w:rsid w:val="00D07903"/>
    <w:rsid w:val="00D10AD8"/>
    <w:rsid w:val="00D16A0B"/>
    <w:rsid w:val="00D16A90"/>
    <w:rsid w:val="00D22DDF"/>
    <w:rsid w:val="00D23F71"/>
    <w:rsid w:val="00D27296"/>
    <w:rsid w:val="00D41153"/>
    <w:rsid w:val="00D430BA"/>
    <w:rsid w:val="00D508B6"/>
    <w:rsid w:val="00D512B9"/>
    <w:rsid w:val="00D612D2"/>
    <w:rsid w:val="00D832AB"/>
    <w:rsid w:val="00DA29ED"/>
    <w:rsid w:val="00DA438A"/>
    <w:rsid w:val="00DA4636"/>
    <w:rsid w:val="00DB3D82"/>
    <w:rsid w:val="00DB5EEC"/>
    <w:rsid w:val="00DD13AC"/>
    <w:rsid w:val="00DD1C60"/>
    <w:rsid w:val="00DD2E24"/>
    <w:rsid w:val="00DE3AAB"/>
    <w:rsid w:val="00DF1E85"/>
    <w:rsid w:val="00DF3992"/>
    <w:rsid w:val="00DF477C"/>
    <w:rsid w:val="00E23CB2"/>
    <w:rsid w:val="00E24BCB"/>
    <w:rsid w:val="00E44903"/>
    <w:rsid w:val="00E52731"/>
    <w:rsid w:val="00E660C6"/>
    <w:rsid w:val="00E80662"/>
    <w:rsid w:val="00E84CC5"/>
    <w:rsid w:val="00E975AC"/>
    <w:rsid w:val="00EA178B"/>
    <w:rsid w:val="00EA4C1F"/>
    <w:rsid w:val="00EA7DE6"/>
    <w:rsid w:val="00EC576A"/>
    <w:rsid w:val="00EE0075"/>
    <w:rsid w:val="00EE15F4"/>
    <w:rsid w:val="00EE3CEB"/>
    <w:rsid w:val="00EE60F5"/>
    <w:rsid w:val="00EF2021"/>
    <w:rsid w:val="00EF6F39"/>
    <w:rsid w:val="00EF7F6B"/>
    <w:rsid w:val="00F0199C"/>
    <w:rsid w:val="00F021D1"/>
    <w:rsid w:val="00F14C7E"/>
    <w:rsid w:val="00F2585E"/>
    <w:rsid w:val="00F27313"/>
    <w:rsid w:val="00F3653B"/>
    <w:rsid w:val="00F52C65"/>
    <w:rsid w:val="00F61D8E"/>
    <w:rsid w:val="00F63968"/>
    <w:rsid w:val="00F70B46"/>
    <w:rsid w:val="00F7499F"/>
    <w:rsid w:val="00F756D2"/>
    <w:rsid w:val="00F80068"/>
    <w:rsid w:val="00F812F1"/>
    <w:rsid w:val="00F83635"/>
    <w:rsid w:val="00F83B8C"/>
    <w:rsid w:val="00F8486C"/>
    <w:rsid w:val="00F84EA7"/>
    <w:rsid w:val="00F90136"/>
    <w:rsid w:val="00F931B1"/>
    <w:rsid w:val="00FA1DBE"/>
    <w:rsid w:val="00FB0018"/>
    <w:rsid w:val="00FC04C2"/>
    <w:rsid w:val="00FD3310"/>
    <w:rsid w:val="00FD3A4D"/>
    <w:rsid w:val="00FD48ED"/>
    <w:rsid w:val="00FD5857"/>
    <w:rsid w:val="00FE02B4"/>
    <w:rsid w:val="00FE2AD8"/>
    <w:rsid w:val="00FE343E"/>
    <w:rsid w:val="00FE3987"/>
    <w:rsid w:val="00FF16B5"/>
    <w:rsid w:val="00FF4807"/>
    <w:rsid w:val="00FF779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7BBB"/>
  <w15:chartTrackingRefBased/>
  <w15:docId w15:val="{5D4C65B7-B6A4-3743-8016-2DC877DC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AC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F2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A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A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A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A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AC0"/>
    <w:rPr>
      <w:rFonts w:eastAsiaTheme="majorEastAsia" w:cstheme="majorBidi"/>
      <w:color w:val="272727" w:themeColor="text1" w:themeTint="D8"/>
    </w:rPr>
  </w:style>
  <w:style w:type="paragraph" w:styleId="Title">
    <w:name w:val="Title"/>
    <w:basedOn w:val="Normal"/>
    <w:next w:val="Normal"/>
    <w:link w:val="TitleChar"/>
    <w:uiPriority w:val="10"/>
    <w:qFormat/>
    <w:rsid w:val="003F2A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AC0"/>
    <w:pPr>
      <w:spacing w:before="160"/>
      <w:jc w:val="center"/>
    </w:pPr>
    <w:rPr>
      <w:i/>
      <w:iCs/>
      <w:color w:val="404040" w:themeColor="text1" w:themeTint="BF"/>
    </w:rPr>
  </w:style>
  <w:style w:type="character" w:customStyle="1" w:styleId="QuoteChar">
    <w:name w:val="Quote Char"/>
    <w:basedOn w:val="DefaultParagraphFont"/>
    <w:link w:val="Quote"/>
    <w:uiPriority w:val="29"/>
    <w:rsid w:val="003F2AC0"/>
    <w:rPr>
      <w:i/>
      <w:iCs/>
      <w:color w:val="404040" w:themeColor="text1" w:themeTint="BF"/>
    </w:rPr>
  </w:style>
  <w:style w:type="paragraph" w:styleId="ListParagraph">
    <w:name w:val="List Paragraph"/>
    <w:aliases w:val="List Paragraph (numbered (a)),Use Case List Paragraph,References,MCHIP_list paragraph,List Paragraph1,Recommendation,Bullet List,FooterText,Bioforce zListePuce,1,Paragraphe de liste1,Titre1,Glossaire,liste de tableaux,Bullet Points"/>
    <w:basedOn w:val="Normal"/>
    <w:link w:val="ListParagraphChar"/>
    <w:uiPriority w:val="34"/>
    <w:qFormat/>
    <w:rsid w:val="003F2AC0"/>
    <w:pPr>
      <w:ind w:left="720"/>
      <w:contextualSpacing/>
    </w:pPr>
  </w:style>
  <w:style w:type="character" w:styleId="IntenseEmphasis">
    <w:name w:val="Intense Emphasis"/>
    <w:basedOn w:val="DefaultParagraphFont"/>
    <w:uiPriority w:val="21"/>
    <w:qFormat/>
    <w:rsid w:val="003F2AC0"/>
    <w:rPr>
      <w:i/>
      <w:iCs/>
      <w:color w:val="0F4761" w:themeColor="accent1" w:themeShade="BF"/>
    </w:rPr>
  </w:style>
  <w:style w:type="paragraph" w:styleId="IntenseQuote">
    <w:name w:val="Intense Quote"/>
    <w:basedOn w:val="Normal"/>
    <w:next w:val="Normal"/>
    <w:link w:val="IntenseQuoteChar"/>
    <w:uiPriority w:val="30"/>
    <w:qFormat/>
    <w:rsid w:val="003F2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AC0"/>
    <w:rPr>
      <w:i/>
      <w:iCs/>
      <w:color w:val="0F4761" w:themeColor="accent1" w:themeShade="BF"/>
    </w:rPr>
  </w:style>
  <w:style w:type="character" w:styleId="IntenseReference">
    <w:name w:val="Intense Reference"/>
    <w:basedOn w:val="DefaultParagraphFont"/>
    <w:uiPriority w:val="32"/>
    <w:qFormat/>
    <w:rsid w:val="003F2AC0"/>
    <w:rPr>
      <w:b/>
      <w:bCs/>
      <w:smallCaps/>
      <w:color w:val="0F4761" w:themeColor="accent1" w:themeShade="BF"/>
      <w:spacing w:val="5"/>
    </w:rPr>
  </w:style>
  <w:style w:type="paragraph" w:styleId="NormalWeb">
    <w:name w:val="Normal (Web)"/>
    <w:basedOn w:val="Normal"/>
    <w:uiPriority w:val="99"/>
    <w:unhideWhenUsed/>
    <w:rsid w:val="003F2AC0"/>
    <w:pPr>
      <w:spacing w:before="100" w:beforeAutospacing="1" w:after="100" w:afterAutospacing="1"/>
    </w:pPr>
  </w:style>
  <w:style w:type="character" w:styleId="Strong">
    <w:name w:val="Strong"/>
    <w:basedOn w:val="DefaultParagraphFont"/>
    <w:uiPriority w:val="22"/>
    <w:qFormat/>
    <w:rsid w:val="003F2AC0"/>
    <w:rPr>
      <w:b/>
      <w:bCs/>
    </w:rPr>
  </w:style>
  <w:style w:type="character" w:customStyle="1" w:styleId="apple-converted-space">
    <w:name w:val="apple-converted-space"/>
    <w:basedOn w:val="DefaultParagraphFont"/>
    <w:rsid w:val="003F2AC0"/>
  </w:style>
  <w:style w:type="character" w:customStyle="1" w:styleId="truncate">
    <w:name w:val="truncate"/>
    <w:basedOn w:val="DefaultParagraphFont"/>
    <w:rsid w:val="003F2AC0"/>
  </w:style>
  <w:style w:type="paragraph" w:styleId="FootnoteText">
    <w:name w:val="footnote text"/>
    <w:basedOn w:val="Normal"/>
    <w:link w:val="FootnoteTextChar"/>
    <w:uiPriority w:val="99"/>
    <w:semiHidden/>
    <w:unhideWhenUsed/>
    <w:rsid w:val="003F2AC0"/>
    <w:rPr>
      <w:sz w:val="20"/>
      <w:szCs w:val="20"/>
    </w:rPr>
  </w:style>
  <w:style w:type="character" w:customStyle="1" w:styleId="FootnoteTextChar">
    <w:name w:val="Footnote Text Char"/>
    <w:basedOn w:val="DefaultParagraphFont"/>
    <w:link w:val="FootnoteText"/>
    <w:uiPriority w:val="99"/>
    <w:semiHidden/>
    <w:rsid w:val="003F2AC0"/>
    <w:rPr>
      <w:sz w:val="20"/>
      <w:szCs w:val="20"/>
    </w:rPr>
  </w:style>
  <w:style w:type="character" w:styleId="FootnoteReference">
    <w:name w:val="footnote reference"/>
    <w:basedOn w:val="DefaultParagraphFont"/>
    <w:uiPriority w:val="99"/>
    <w:semiHidden/>
    <w:unhideWhenUsed/>
    <w:rsid w:val="003F2AC0"/>
    <w:rPr>
      <w:vertAlign w:val="superscript"/>
    </w:rPr>
  </w:style>
  <w:style w:type="character" w:styleId="Hyperlink">
    <w:name w:val="Hyperlink"/>
    <w:basedOn w:val="DefaultParagraphFont"/>
    <w:uiPriority w:val="99"/>
    <w:unhideWhenUsed/>
    <w:rsid w:val="003F2AC0"/>
    <w:rPr>
      <w:color w:val="467886" w:themeColor="hyperlink"/>
      <w:u w:val="single"/>
    </w:rPr>
  </w:style>
  <w:style w:type="character" w:styleId="UnresolvedMention">
    <w:name w:val="Unresolved Mention"/>
    <w:basedOn w:val="DefaultParagraphFont"/>
    <w:uiPriority w:val="99"/>
    <w:semiHidden/>
    <w:unhideWhenUsed/>
    <w:rsid w:val="003F2AC0"/>
    <w:rPr>
      <w:color w:val="605E5C"/>
      <w:shd w:val="clear" w:color="auto" w:fill="E1DFDD"/>
    </w:rPr>
  </w:style>
  <w:style w:type="character" w:customStyle="1" w:styleId="html-span">
    <w:name w:val="html-span"/>
    <w:basedOn w:val="DefaultParagraphFont"/>
    <w:rsid w:val="003F2AC0"/>
  </w:style>
  <w:style w:type="character" w:styleId="FollowedHyperlink">
    <w:name w:val="FollowedHyperlink"/>
    <w:basedOn w:val="DefaultParagraphFont"/>
    <w:uiPriority w:val="99"/>
    <w:semiHidden/>
    <w:unhideWhenUsed/>
    <w:rsid w:val="003F2AC0"/>
    <w:rPr>
      <w:color w:val="96607D" w:themeColor="followedHyperlink"/>
      <w:u w:val="single"/>
    </w:rPr>
  </w:style>
  <w:style w:type="character" w:styleId="Emphasis">
    <w:name w:val="Emphasis"/>
    <w:basedOn w:val="DefaultParagraphFont"/>
    <w:uiPriority w:val="20"/>
    <w:qFormat/>
    <w:rsid w:val="003F2AC0"/>
    <w:rPr>
      <w:i/>
      <w:iCs/>
    </w:rPr>
  </w:style>
  <w:style w:type="paragraph" w:styleId="Footer">
    <w:name w:val="footer"/>
    <w:basedOn w:val="Normal"/>
    <w:link w:val="FooterChar"/>
    <w:uiPriority w:val="99"/>
    <w:unhideWhenUsed/>
    <w:rsid w:val="00556D55"/>
    <w:pPr>
      <w:tabs>
        <w:tab w:val="center" w:pos="4513"/>
        <w:tab w:val="right" w:pos="9026"/>
      </w:tabs>
    </w:pPr>
  </w:style>
  <w:style w:type="character" w:customStyle="1" w:styleId="FooterChar">
    <w:name w:val="Footer Char"/>
    <w:basedOn w:val="DefaultParagraphFont"/>
    <w:link w:val="Footer"/>
    <w:uiPriority w:val="99"/>
    <w:rsid w:val="00556D55"/>
    <w:rPr>
      <w:rFonts w:ascii="Times New Roman" w:eastAsia="Times New Roman" w:hAnsi="Times New Roman" w:cs="Times New Roman"/>
      <w:kern w:val="0"/>
      <w14:ligatures w14:val="none"/>
    </w:rPr>
  </w:style>
  <w:style w:type="paragraph" w:styleId="Revision">
    <w:name w:val="Revision"/>
    <w:hidden/>
    <w:uiPriority w:val="99"/>
    <w:semiHidden/>
    <w:rsid w:val="007145E7"/>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443EA2"/>
    <w:rPr>
      <w:sz w:val="16"/>
      <w:szCs w:val="16"/>
    </w:rPr>
  </w:style>
  <w:style w:type="paragraph" w:styleId="CommentText">
    <w:name w:val="annotation text"/>
    <w:basedOn w:val="Normal"/>
    <w:link w:val="CommentTextChar"/>
    <w:uiPriority w:val="99"/>
    <w:semiHidden/>
    <w:unhideWhenUsed/>
    <w:rsid w:val="00443EA2"/>
    <w:rPr>
      <w:sz w:val="20"/>
      <w:szCs w:val="20"/>
    </w:rPr>
  </w:style>
  <w:style w:type="character" w:customStyle="1" w:styleId="CommentTextChar">
    <w:name w:val="Comment Text Char"/>
    <w:basedOn w:val="DefaultParagraphFont"/>
    <w:link w:val="CommentText"/>
    <w:uiPriority w:val="99"/>
    <w:semiHidden/>
    <w:rsid w:val="00443EA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3EA2"/>
    <w:rPr>
      <w:b/>
      <w:bCs/>
    </w:rPr>
  </w:style>
  <w:style w:type="character" w:customStyle="1" w:styleId="CommentSubjectChar">
    <w:name w:val="Comment Subject Char"/>
    <w:basedOn w:val="CommentTextChar"/>
    <w:link w:val="CommentSubject"/>
    <w:uiPriority w:val="99"/>
    <w:semiHidden/>
    <w:rsid w:val="00443EA2"/>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EF7F6B"/>
    <w:pPr>
      <w:tabs>
        <w:tab w:val="center" w:pos="4513"/>
        <w:tab w:val="right" w:pos="9026"/>
      </w:tabs>
    </w:pPr>
  </w:style>
  <w:style w:type="character" w:customStyle="1" w:styleId="HeaderChar">
    <w:name w:val="Header Char"/>
    <w:basedOn w:val="DefaultParagraphFont"/>
    <w:link w:val="Header"/>
    <w:uiPriority w:val="99"/>
    <w:rsid w:val="00EF7F6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EF7F6B"/>
  </w:style>
  <w:style w:type="paragraph" w:styleId="BalloonText">
    <w:name w:val="Balloon Text"/>
    <w:basedOn w:val="Normal"/>
    <w:link w:val="BalloonTextChar"/>
    <w:uiPriority w:val="99"/>
    <w:semiHidden/>
    <w:unhideWhenUsed/>
    <w:rsid w:val="00621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D93"/>
    <w:rPr>
      <w:rFonts w:ascii="Segoe UI" w:eastAsia="Times New Roman" w:hAnsi="Segoe UI" w:cs="Segoe UI"/>
      <w:kern w:val="0"/>
      <w:sz w:val="18"/>
      <w:szCs w:val="18"/>
      <w14:ligatures w14:val="none"/>
    </w:rPr>
  </w:style>
  <w:style w:type="table" w:styleId="TableGrid">
    <w:name w:val="Table Grid"/>
    <w:basedOn w:val="TableNormal"/>
    <w:uiPriority w:val="39"/>
    <w:rsid w:val="00537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Use Case List Paragraph Char,References Char,MCHIP_list paragraph Char,List Paragraph1 Char,Recommendation Char,Bullet List Char,FooterText Char,Bioforce zListePuce Char,1 Char,Titre1 Char"/>
    <w:link w:val="ListParagraph"/>
    <w:uiPriority w:val="34"/>
    <w:qFormat/>
    <w:locked/>
    <w:rsid w:val="00F0199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6293">
      <w:bodyDiv w:val="1"/>
      <w:marLeft w:val="0"/>
      <w:marRight w:val="0"/>
      <w:marTop w:val="0"/>
      <w:marBottom w:val="0"/>
      <w:divBdr>
        <w:top w:val="none" w:sz="0" w:space="0" w:color="auto"/>
        <w:left w:val="none" w:sz="0" w:space="0" w:color="auto"/>
        <w:bottom w:val="none" w:sz="0" w:space="0" w:color="auto"/>
        <w:right w:val="none" w:sz="0" w:space="0" w:color="auto"/>
      </w:divBdr>
    </w:div>
    <w:div w:id="175006222">
      <w:bodyDiv w:val="1"/>
      <w:marLeft w:val="0"/>
      <w:marRight w:val="0"/>
      <w:marTop w:val="0"/>
      <w:marBottom w:val="0"/>
      <w:divBdr>
        <w:top w:val="none" w:sz="0" w:space="0" w:color="auto"/>
        <w:left w:val="none" w:sz="0" w:space="0" w:color="auto"/>
        <w:bottom w:val="none" w:sz="0" w:space="0" w:color="auto"/>
        <w:right w:val="none" w:sz="0" w:space="0" w:color="auto"/>
      </w:divBdr>
      <w:divsChild>
        <w:div w:id="638917346">
          <w:marLeft w:val="0"/>
          <w:marRight w:val="0"/>
          <w:marTop w:val="0"/>
          <w:marBottom w:val="0"/>
          <w:divBdr>
            <w:top w:val="none" w:sz="0" w:space="0" w:color="auto"/>
            <w:left w:val="none" w:sz="0" w:space="0" w:color="auto"/>
            <w:bottom w:val="none" w:sz="0" w:space="0" w:color="auto"/>
            <w:right w:val="none" w:sz="0" w:space="0" w:color="auto"/>
          </w:divBdr>
        </w:div>
        <w:div w:id="1632251668">
          <w:marLeft w:val="0"/>
          <w:marRight w:val="0"/>
          <w:marTop w:val="0"/>
          <w:marBottom w:val="0"/>
          <w:divBdr>
            <w:top w:val="none" w:sz="0" w:space="0" w:color="auto"/>
            <w:left w:val="none" w:sz="0" w:space="0" w:color="auto"/>
            <w:bottom w:val="none" w:sz="0" w:space="0" w:color="auto"/>
            <w:right w:val="none" w:sz="0" w:space="0" w:color="auto"/>
          </w:divBdr>
        </w:div>
        <w:div w:id="512576465">
          <w:marLeft w:val="0"/>
          <w:marRight w:val="0"/>
          <w:marTop w:val="0"/>
          <w:marBottom w:val="0"/>
          <w:divBdr>
            <w:top w:val="none" w:sz="0" w:space="0" w:color="auto"/>
            <w:left w:val="none" w:sz="0" w:space="0" w:color="auto"/>
            <w:bottom w:val="none" w:sz="0" w:space="0" w:color="auto"/>
            <w:right w:val="none" w:sz="0" w:space="0" w:color="auto"/>
          </w:divBdr>
        </w:div>
      </w:divsChild>
    </w:div>
    <w:div w:id="223567208">
      <w:bodyDiv w:val="1"/>
      <w:marLeft w:val="0"/>
      <w:marRight w:val="0"/>
      <w:marTop w:val="0"/>
      <w:marBottom w:val="0"/>
      <w:divBdr>
        <w:top w:val="none" w:sz="0" w:space="0" w:color="auto"/>
        <w:left w:val="none" w:sz="0" w:space="0" w:color="auto"/>
        <w:bottom w:val="none" w:sz="0" w:space="0" w:color="auto"/>
        <w:right w:val="none" w:sz="0" w:space="0" w:color="auto"/>
      </w:divBdr>
    </w:div>
    <w:div w:id="369916436">
      <w:bodyDiv w:val="1"/>
      <w:marLeft w:val="0"/>
      <w:marRight w:val="0"/>
      <w:marTop w:val="0"/>
      <w:marBottom w:val="0"/>
      <w:divBdr>
        <w:top w:val="none" w:sz="0" w:space="0" w:color="auto"/>
        <w:left w:val="none" w:sz="0" w:space="0" w:color="auto"/>
        <w:bottom w:val="none" w:sz="0" w:space="0" w:color="auto"/>
        <w:right w:val="none" w:sz="0" w:space="0" w:color="auto"/>
      </w:divBdr>
    </w:div>
    <w:div w:id="443353945">
      <w:bodyDiv w:val="1"/>
      <w:marLeft w:val="0"/>
      <w:marRight w:val="0"/>
      <w:marTop w:val="0"/>
      <w:marBottom w:val="0"/>
      <w:divBdr>
        <w:top w:val="none" w:sz="0" w:space="0" w:color="auto"/>
        <w:left w:val="none" w:sz="0" w:space="0" w:color="auto"/>
        <w:bottom w:val="none" w:sz="0" w:space="0" w:color="auto"/>
        <w:right w:val="none" w:sz="0" w:space="0" w:color="auto"/>
      </w:divBdr>
    </w:div>
    <w:div w:id="585382211">
      <w:bodyDiv w:val="1"/>
      <w:marLeft w:val="0"/>
      <w:marRight w:val="0"/>
      <w:marTop w:val="0"/>
      <w:marBottom w:val="0"/>
      <w:divBdr>
        <w:top w:val="none" w:sz="0" w:space="0" w:color="auto"/>
        <w:left w:val="none" w:sz="0" w:space="0" w:color="auto"/>
        <w:bottom w:val="none" w:sz="0" w:space="0" w:color="auto"/>
        <w:right w:val="none" w:sz="0" w:space="0" w:color="auto"/>
      </w:divBdr>
    </w:div>
    <w:div w:id="617950364">
      <w:bodyDiv w:val="1"/>
      <w:marLeft w:val="0"/>
      <w:marRight w:val="0"/>
      <w:marTop w:val="0"/>
      <w:marBottom w:val="0"/>
      <w:divBdr>
        <w:top w:val="none" w:sz="0" w:space="0" w:color="auto"/>
        <w:left w:val="none" w:sz="0" w:space="0" w:color="auto"/>
        <w:bottom w:val="none" w:sz="0" w:space="0" w:color="auto"/>
        <w:right w:val="none" w:sz="0" w:space="0" w:color="auto"/>
      </w:divBdr>
    </w:div>
    <w:div w:id="644628360">
      <w:bodyDiv w:val="1"/>
      <w:marLeft w:val="0"/>
      <w:marRight w:val="0"/>
      <w:marTop w:val="0"/>
      <w:marBottom w:val="0"/>
      <w:divBdr>
        <w:top w:val="none" w:sz="0" w:space="0" w:color="auto"/>
        <w:left w:val="none" w:sz="0" w:space="0" w:color="auto"/>
        <w:bottom w:val="none" w:sz="0" w:space="0" w:color="auto"/>
        <w:right w:val="none" w:sz="0" w:space="0" w:color="auto"/>
      </w:divBdr>
    </w:div>
    <w:div w:id="695430775">
      <w:bodyDiv w:val="1"/>
      <w:marLeft w:val="0"/>
      <w:marRight w:val="0"/>
      <w:marTop w:val="0"/>
      <w:marBottom w:val="0"/>
      <w:divBdr>
        <w:top w:val="none" w:sz="0" w:space="0" w:color="auto"/>
        <w:left w:val="none" w:sz="0" w:space="0" w:color="auto"/>
        <w:bottom w:val="none" w:sz="0" w:space="0" w:color="auto"/>
        <w:right w:val="none" w:sz="0" w:space="0" w:color="auto"/>
      </w:divBdr>
    </w:div>
    <w:div w:id="807473292">
      <w:bodyDiv w:val="1"/>
      <w:marLeft w:val="0"/>
      <w:marRight w:val="0"/>
      <w:marTop w:val="0"/>
      <w:marBottom w:val="0"/>
      <w:divBdr>
        <w:top w:val="none" w:sz="0" w:space="0" w:color="auto"/>
        <w:left w:val="none" w:sz="0" w:space="0" w:color="auto"/>
        <w:bottom w:val="none" w:sz="0" w:space="0" w:color="auto"/>
        <w:right w:val="none" w:sz="0" w:space="0" w:color="auto"/>
      </w:divBdr>
    </w:div>
    <w:div w:id="922177902">
      <w:bodyDiv w:val="1"/>
      <w:marLeft w:val="0"/>
      <w:marRight w:val="0"/>
      <w:marTop w:val="0"/>
      <w:marBottom w:val="0"/>
      <w:divBdr>
        <w:top w:val="none" w:sz="0" w:space="0" w:color="auto"/>
        <w:left w:val="none" w:sz="0" w:space="0" w:color="auto"/>
        <w:bottom w:val="none" w:sz="0" w:space="0" w:color="auto"/>
        <w:right w:val="none" w:sz="0" w:space="0" w:color="auto"/>
      </w:divBdr>
    </w:div>
    <w:div w:id="932324819">
      <w:bodyDiv w:val="1"/>
      <w:marLeft w:val="0"/>
      <w:marRight w:val="0"/>
      <w:marTop w:val="0"/>
      <w:marBottom w:val="0"/>
      <w:divBdr>
        <w:top w:val="none" w:sz="0" w:space="0" w:color="auto"/>
        <w:left w:val="none" w:sz="0" w:space="0" w:color="auto"/>
        <w:bottom w:val="none" w:sz="0" w:space="0" w:color="auto"/>
        <w:right w:val="none" w:sz="0" w:space="0" w:color="auto"/>
      </w:divBdr>
    </w:div>
    <w:div w:id="1182890474">
      <w:bodyDiv w:val="1"/>
      <w:marLeft w:val="0"/>
      <w:marRight w:val="0"/>
      <w:marTop w:val="0"/>
      <w:marBottom w:val="0"/>
      <w:divBdr>
        <w:top w:val="none" w:sz="0" w:space="0" w:color="auto"/>
        <w:left w:val="none" w:sz="0" w:space="0" w:color="auto"/>
        <w:bottom w:val="none" w:sz="0" w:space="0" w:color="auto"/>
        <w:right w:val="none" w:sz="0" w:space="0" w:color="auto"/>
      </w:divBdr>
    </w:div>
    <w:div w:id="1193228266">
      <w:bodyDiv w:val="1"/>
      <w:marLeft w:val="0"/>
      <w:marRight w:val="0"/>
      <w:marTop w:val="0"/>
      <w:marBottom w:val="0"/>
      <w:divBdr>
        <w:top w:val="none" w:sz="0" w:space="0" w:color="auto"/>
        <w:left w:val="none" w:sz="0" w:space="0" w:color="auto"/>
        <w:bottom w:val="none" w:sz="0" w:space="0" w:color="auto"/>
        <w:right w:val="none" w:sz="0" w:space="0" w:color="auto"/>
      </w:divBdr>
    </w:div>
    <w:div w:id="1204905550">
      <w:bodyDiv w:val="1"/>
      <w:marLeft w:val="0"/>
      <w:marRight w:val="0"/>
      <w:marTop w:val="0"/>
      <w:marBottom w:val="0"/>
      <w:divBdr>
        <w:top w:val="none" w:sz="0" w:space="0" w:color="auto"/>
        <w:left w:val="none" w:sz="0" w:space="0" w:color="auto"/>
        <w:bottom w:val="none" w:sz="0" w:space="0" w:color="auto"/>
        <w:right w:val="none" w:sz="0" w:space="0" w:color="auto"/>
      </w:divBdr>
    </w:div>
    <w:div w:id="1483429501">
      <w:bodyDiv w:val="1"/>
      <w:marLeft w:val="0"/>
      <w:marRight w:val="0"/>
      <w:marTop w:val="0"/>
      <w:marBottom w:val="0"/>
      <w:divBdr>
        <w:top w:val="none" w:sz="0" w:space="0" w:color="auto"/>
        <w:left w:val="none" w:sz="0" w:space="0" w:color="auto"/>
        <w:bottom w:val="none" w:sz="0" w:space="0" w:color="auto"/>
        <w:right w:val="none" w:sz="0" w:space="0" w:color="auto"/>
      </w:divBdr>
    </w:div>
    <w:div w:id="1538935300">
      <w:bodyDiv w:val="1"/>
      <w:marLeft w:val="0"/>
      <w:marRight w:val="0"/>
      <w:marTop w:val="0"/>
      <w:marBottom w:val="0"/>
      <w:divBdr>
        <w:top w:val="none" w:sz="0" w:space="0" w:color="auto"/>
        <w:left w:val="none" w:sz="0" w:space="0" w:color="auto"/>
        <w:bottom w:val="none" w:sz="0" w:space="0" w:color="auto"/>
        <w:right w:val="none" w:sz="0" w:space="0" w:color="auto"/>
      </w:divBdr>
    </w:div>
    <w:div w:id="1608074083">
      <w:bodyDiv w:val="1"/>
      <w:marLeft w:val="0"/>
      <w:marRight w:val="0"/>
      <w:marTop w:val="0"/>
      <w:marBottom w:val="0"/>
      <w:divBdr>
        <w:top w:val="none" w:sz="0" w:space="0" w:color="auto"/>
        <w:left w:val="none" w:sz="0" w:space="0" w:color="auto"/>
        <w:bottom w:val="none" w:sz="0" w:space="0" w:color="auto"/>
        <w:right w:val="none" w:sz="0" w:space="0" w:color="auto"/>
      </w:divBdr>
    </w:div>
    <w:div w:id="1679892738">
      <w:bodyDiv w:val="1"/>
      <w:marLeft w:val="0"/>
      <w:marRight w:val="0"/>
      <w:marTop w:val="0"/>
      <w:marBottom w:val="0"/>
      <w:divBdr>
        <w:top w:val="none" w:sz="0" w:space="0" w:color="auto"/>
        <w:left w:val="none" w:sz="0" w:space="0" w:color="auto"/>
        <w:bottom w:val="none" w:sz="0" w:space="0" w:color="auto"/>
        <w:right w:val="none" w:sz="0" w:space="0" w:color="auto"/>
      </w:divBdr>
    </w:div>
    <w:div w:id="1833255870">
      <w:bodyDiv w:val="1"/>
      <w:marLeft w:val="0"/>
      <w:marRight w:val="0"/>
      <w:marTop w:val="0"/>
      <w:marBottom w:val="0"/>
      <w:divBdr>
        <w:top w:val="none" w:sz="0" w:space="0" w:color="auto"/>
        <w:left w:val="none" w:sz="0" w:space="0" w:color="auto"/>
        <w:bottom w:val="none" w:sz="0" w:space="0" w:color="auto"/>
        <w:right w:val="none" w:sz="0" w:space="0" w:color="auto"/>
      </w:divBdr>
    </w:div>
    <w:div w:id="1861360130">
      <w:bodyDiv w:val="1"/>
      <w:marLeft w:val="0"/>
      <w:marRight w:val="0"/>
      <w:marTop w:val="0"/>
      <w:marBottom w:val="0"/>
      <w:divBdr>
        <w:top w:val="none" w:sz="0" w:space="0" w:color="auto"/>
        <w:left w:val="none" w:sz="0" w:space="0" w:color="auto"/>
        <w:bottom w:val="none" w:sz="0" w:space="0" w:color="auto"/>
        <w:right w:val="none" w:sz="0" w:space="0" w:color="auto"/>
      </w:divBdr>
    </w:div>
    <w:div w:id="1991715972">
      <w:bodyDiv w:val="1"/>
      <w:marLeft w:val="0"/>
      <w:marRight w:val="0"/>
      <w:marTop w:val="0"/>
      <w:marBottom w:val="0"/>
      <w:divBdr>
        <w:top w:val="none" w:sz="0" w:space="0" w:color="auto"/>
        <w:left w:val="none" w:sz="0" w:space="0" w:color="auto"/>
        <w:bottom w:val="none" w:sz="0" w:space="0" w:color="auto"/>
        <w:right w:val="none" w:sz="0" w:space="0" w:color="auto"/>
      </w:divBdr>
    </w:div>
    <w:div w:id="2004122357">
      <w:bodyDiv w:val="1"/>
      <w:marLeft w:val="0"/>
      <w:marRight w:val="0"/>
      <w:marTop w:val="0"/>
      <w:marBottom w:val="0"/>
      <w:divBdr>
        <w:top w:val="none" w:sz="0" w:space="0" w:color="auto"/>
        <w:left w:val="none" w:sz="0" w:space="0" w:color="auto"/>
        <w:bottom w:val="none" w:sz="0" w:space="0" w:color="auto"/>
        <w:right w:val="none" w:sz="0" w:space="0" w:color="auto"/>
      </w:divBdr>
      <w:divsChild>
        <w:div w:id="480269857">
          <w:marLeft w:val="0"/>
          <w:marRight w:val="0"/>
          <w:marTop w:val="0"/>
          <w:marBottom w:val="0"/>
          <w:divBdr>
            <w:top w:val="none" w:sz="0" w:space="0" w:color="auto"/>
            <w:left w:val="none" w:sz="0" w:space="0" w:color="auto"/>
            <w:bottom w:val="none" w:sz="0" w:space="0" w:color="auto"/>
            <w:right w:val="none" w:sz="0" w:space="0" w:color="auto"/>
          </w:divBdr>
        </w:div>
        <w:div w:id="1598247467">
          <w:marLeft w:val="0"/>
          <w:marRight w:val="0"/>
          <w:marTop w:val="0"/>
          <w:marBottom w:val="0"/>
          <w:divBdr>
            <w:top w:val="none" w:sz="0" w:space="0" w:color="auto"/>
            <w:left w:val="none" w:sz="0" w:space="0" w:color="auto"/>
            <w:bottom w:val="none" w:sz="0" w:space="0" w:color="auto"/>
            <w:right w:val="none" w:sz="0" w:space="0" w:color="auto"/>
          </w:divBdr>
        </w:div>
        <w:div w:id="1457604797">
          <w:marLeft w:val="0"/>
          <w:marRight w:val="0"/>
          <w:marTop w:val="0"/>
          <w:marBottom w:val="0"/>
          <w:divBdr>
            <w:top w:val="none" w:sz="0" w:space="0" w:color="auto"/>
            <w:left w:val="none" w:sz="0" w:space="0" w:color="auto"/>
            <w:bottom w:val="none" w:sz="0" w:space="0" w:color="auto"/>
            <w:right w:val="none" w:sz="0" w:space="0" w:color="auto"/>
          </w:divBdr>
        </w:div>
        <w:div w:id="1335887087">
          <w:marLeft w:val="0"/>
          <w:marRight w:val="0"/>
          <w:marTop w:val="0"/>
          <w:marBottom w:val="0"/>
          <w:divBdr>
            <w:top w:val="none" w:sz="0" w:space="0" w:color="auto"/>
            <w:left w:val="none" w:sz="0" w:space="0" w:color="auto"/>
            <w:bottom w:val="none" w:sz="0" w:space="0" w:color="auto"/>
            <w:right w:val="none" w:sz="0" w:space="0" w:color="auto"/>
          </w:divBdr>
        </w:div>
        <w:div w:id="1209611278">
          <w:marLeft w:val="0"/>
          <w:marRight w:val="0"/>
          <w:marTop w:val="0"/>
          <w:marBottom w:val="0"/>
          <w:divBdr>
            <w:top w:val="none" w:sz="0" w:space="0" w:color="auto"/>
            <w:left w:val="none" w:sz="0" w:space="0" w:color="auto"/>
            <w:bottom w:val="none" w:sz="0" w:space="0" w:color="auto"/>
            <w:right w:val="none" w:sz="0" w:space="0" w:color="auto"/>
          </w:divBdr>
        </w:div>
        <w:div w:id="324675903">
          <w:marLeft w:val="0"/>
          <w:marRight w:val="0"/>
          <w:marTop w:val="0"/>
          <w:marBottom w:val="0"/>
          <w:divBdr>
            <w:top w:val="none" w:sz="0" w:space="0" w:color="auto"/>
            <w:left w:val="none" w:sz="0" w:space="0" w:color="auto"/>
            <w:bottom w:val="none" w:sz="0" w:space="0" w:color="auto"/>
            <w:right w:val="none" w:sz="0" w:space="0" w:color="auto"/>
          </w:divBdr>
        </w:div>
      </w:divsChild>
    </w:div>
    <w:div w:id="2013993836">
      <w:bodyDiv w:val="1"/>
      <w:marLeft w:val="0"/>
      <w:marRight w:val="0"/>
      <w:marTop w:val="0"/>
      <w:marBottom w:val="0"/>
      <w:divBdr>
        <w:top w:val="none" w:sz="0" w:space="0" w:color="auto"/>
        <w:left w:val="none" w:sz="0" w:space="0" w:color="auto"/>
        <w:bottom w:val="none" w:sz="0" w:space="0" w:color="auto"/>
        <w:right w:val="none" w:sz="0" w:space="0" w:color="auto"/>
      </w:divBdr>
    </w:div>
    <w:div w:id="20852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ck.mlsend.com/link/c/YT0yODQxNzQ4NjIyNDU2OTE5NTEzJmM9bTZhMiZlPTQ4NDAzOSZiPTE0ODAzMzUzMjgmZD1xMXQybzJj.9vi6SINA2qFHtT1fbLCn3aUAIkPwo1MAtUYj8ldkK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mct.org/fr/ressources/declarations/tchad-les-victimes-du-jeudi-noir-saisissent-la-just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mct.org/site-resources/legacy/RAPPORT-%C2%AB-Ils-ont-enlev%C3%A9-trois-de-mes-fils-%C2%BB-TCHAD-OMCT.pdf" TargetMode="External"/><Relationship Id="rId13" Type="http://schemas.openxmlformats.org/officeDocument/2006/relationships/hyperlink" Target="https://www.hrw.org/fr/report/2024/08/06/pire-que-lenfer/mort-et-torture-la-prison-de-koro-toro-au-tchad" TargetMode="External"/><Relationship Id="rId18" Type="http://schemas.openxmlformats.org/officeDocument/2006/relationships/hyperlink" Target="https://www.hrw.org/fr/report/2024/08/06/pire-que-lenfer/mort-et-torture-la-prison-de-koro-toro-au-tchad" TargetMode="External"/><Relationship Id="rId3" Type="http://schemas.openxmlformats.org/officeDocument/2006/relationships/hyperlink" Target="https://tchadinfos.com/2025/08/29/la-cndh-demande-au-gouvernement-de-ne-pas-retablir-la-peine-de-mort/?fbclid=IwY2xjawPm2wVleHRuA2FlbQIxMABicmlkETB4MlRId0NzRHBSeEZFU3Jrc3J0YwZhcHBfaWQQMjIyMDM5MTc4ODIwMDg5MgABHvm28vCU7JEsiQVa1gMsIQlVCjK5GIW8q7EpooWB4mbnGgU5PxagG4bj8wY3_aem_-Pej929bVPUkVhb84d5fbg" TargetMode="External"/><Relationship Id="rId21" Type="http://schemas.openxmlformats.org/officeDocument/2006/relationships/hyperlink" Target="https://www.omct.org/fr/ressources/appels-urgents/tchad-d%C3%A9ch%C3%A9ance-de-nationalit%C3%A9-de-mm-nguebla-maka%C3%AFla-et-charfadine-galmaye-saleh" TargetMode="External"/><Relationship Id="rId7" Type="http://schemas.openxmlformats.org/officeDocument/2006/relationships/hyperlink" Target="https://www.omct.org/fr/ressources/declarations/tchad-les-actes-doivent-accompagner-les-promesses-de-lutter-contre-la-torture" TargetMode="External"/><Relationship Id="rId12" Type="http://schemas.openxmlformats.org/officeDocument/2006/relationships/hyperlink" Target="https://www.omct.org/fr/ressources/appels-urgents/tchad-l%C3%A9tat-doit-ouvrir-des-enqu%C3%AAtes-sur-larrestation-arbitraire-et-les-actes-de-torture-subis-par-mahamat-souleymane-ir%C3%A9gu%C3%A9" TargetMode="External"/><Relationship Id="rId17" Type="http://schemas.openxmlformats.org/officeDocument/2006/relationships/hyperlink" Target="https://www.lepaystchad.com/36880/" TargetMode="External"/><Relationship Id="rId2" Type="http://schemas.openxmlformats.org/officeDocument/2006/relationships/hyperlink" Target="https://www.omct.org/fr/ressources/declarations/chad-concerns-over-the-creation-of-a-commission-to-reinstate-the-death-penalty" TargetMode="External"/><Relationship Id="rId16" Type="http://schemas.openxmlformats.org/officeDocument/2006/relationships/hyperlink" Target="https://tchadinfos.com/tchad-465-detenus-de-la-maison-darret-de-klessoum-beneficient-dune-remise-de-peines/" TargetMode="External"/><Relationship Id="rId20" Type="http://schemas.openxmlformats.org/officeDocument/2006/relationships/hyperlink" Target="https://www.rfi.fr/fr/afrique/20250615-tchad-le-procureur-interdit-la-presse-et-la-soci%C3%A9t%C3%A9-civile-d-enqu%C3%AAter-sur-les-violences-de-mandakao" TargetMode="External"/><Relationship Id="rId1" Type="http://schemas.openxmlformats.org/officeDocument/2006/relationships/hyperlink" Target="https://www.omct.org/fr/ressources/declarations/tchad-les-actes-doivent-accompagner-les-promesses-de-lutter-contre-la-torture" TargetMode="External"/><Relationship Id="rId6" Type="http://schemas.openxmlformats.org/officeDocument/2006/relationships/hyperlink" Target="https://www.ceeac-eccas.org/wp-content/uploads/2023/03/Pour-diffusion-sur-le-site-CEEAC-Communique-final-de-la-XXIIe-CCEG-de-la-CEEAC.pdf" TargetMode="External"/><Relationship Id="rId11" Type="http://schemas.openxmlformats.org/officeDocument/2006/relationships/hyperlink" Target="https://www.jeuneafrique.com/1699217/politique/arrestation-de-succes-masra-au-tchad-lopposant-est-maintenu-en-detention/" TargetMode="External"/><Relationship Id="rId5" Type="http://schemas.openxmlformats.org/officeDocument/2006/relationships/hyperlink" Target="https://www.omct.org/fr/ressources/declarations/tchad-les-actes-doivent-accompagner-les-promesses-de-lutter-contre-la-torture" TargetMode="External"/><Relationship Id="rId15" Type="http://schemas.openxmlformats.org/officeDocument/2006/relationships/hyperlink" Target="https://tbinternet.ohchr.org/_layouts/15/treatybodyexternal/Download.aspx?symbolno=CCPR%2FC%2FTCD%2F3&amp;Lang=en" TargetMode="External"/><Relationship Id="rId10" Type="http://schemas.openxmlformats.org/officeDocument/2006/relationships/hyperlink" Target="https://www.rfi.fr/fr/afrique/20250604-tchad-l-opposant-robert-gam-lib%C3%A9r%C3%A9-apr%C3%A8s-plus-de-huit-mois-de-d%C3%A9tention" TargetMode="External"/><Relationship Id="rId19" Type="http://schemas.openxmlformats.org/officeDocument/2006/relationships/hyperlink" Target="https://www.omct.org/site-resources/legacy/20250211_Rapport-OBS-SAHEL_FR_V2.pdf" TargetMode="External"/><Relationship Id="rId4" Type="http://schemas.openxmlformats.org/officeDocument/2006/relationships/hyperlink" Target="https://www.omct.org/site-resources/legacy/RAPPORT-%C2%AB-Ils-ont-enlev%C3%A9-trois-de-mes-fils-%C2%BB-TCHAD-OMCT.pdf" TargetMode="External"/><Relationship Id="rId9" Type="http://schemas.openxmlformats.org/officeDocument/2006/relationships/hyperlink" Target="https://www.hrw.org/fr/report/2024/08/06/pire-que-lenfer/mort-et-torture-la-prison-de-koro-toro-au-tchad" TargetMode="External"/><Relationship Id="rId14" Type="http://schemas.openxmlformats.org/officeDocument/2006/relationships/hyperlink" Target="https://www.omct.org/fr/ressources/declarations/tchad-les-actes-doivent-accompagner-les-promesses-de-lutter-contre-la-torture" TargetMode="External"/><Relationship Id="rId22" Type="http://schemas.openxmlformats.org/officeDocument/2006/relationships/hyperlink" Target="https://www.omct.org/fr/ressources/appels-urgents/tchad-obstruction-%C3%A0-la-libert%C3%A9-de-circulation-de-quatre-membres-de-la-ltdh-par-le-d%C3%A9l%C3%A9gu%C3%A9-g%C3%A9n%C3%A9ral-du-gouvernement-aupr%C3%A8s-de-la-province-du-lac?x-craft-preview=3077ad2e7eecac3b7ff422b72eefebd3a58d37d5945afcd0d703d12519183f18alanabohum&amp;token=7M5MbYGYJSTKs3y4rdUyI5ZEqRrhqbu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F99B7-718E-4790-8CE0-3A3F1BD5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22</Pages>
  <Words>8149</Words>
  <Characters>46454</Characters>
  <Application>Microsoft Office Word</Application>
  <DocSecurity>0</DocSecurity>
  <Lines>387</Lines>
  <Paragraphs>108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Isidore Collins NGUEULEU DJEUGA</dc:creator>
  <cp:keywords/>
  <dc:description/>
  <cp:lastModifiedBy>Charlotte Mancini</cp:lastModifiedBy>
  <cp:revision>28</cp:revision>
  <cp:lastPrinted>2026-02-01T11:59:00Z</cp:lastPrinted>
  <dcterms:created xsi:type="dcterms:W3CDTF">2026-02-01T12:02:00Z</dcterms:created>
  <dcterms:modified xsi:type="dcterms:W3CDTF">2026-02-02T15:40:00Z</dcterms:modified>
</cp:coreProperties>
</file>